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4" Type="http://schemas.openxmlformats.org/officeDocument/2006/relationships/extended-properties" Target="docProps/app.xml"/><Relationship Id="rId3" Type="http://schemas.openxmlformats.org/package/2006/relationships/metadata/core-properties" Target="docProps/core.xml"/><Relationship Id="rId5" Type="http://schemas.openxmlformats.org/officeDocument/2006/relationships/custom-properties" Target="docProps/custom.xml"/></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PreprintLabel"/>
        <w:spacing w:after="160"/>
        <w:jc w:val="center"/>
        <w:pBdr>
          <w:bottom w:val="single" w:sz="6" w:space="5" w:color="563778"/>
        </w:pBdr>
        <w:keepLines/>
      </w:pPr>
      <w:r>
        <w:rPr>
          <w:rFonts w:ascii="Liberation Sans" w:hAnsi="Liberation Sans"/>
          <w:b/>
          <w:color w:val="563778"/>
          <w:sz w:val="15"/>
        </w:rPr>
        <w:t xml:space="preserve">PREPRINT v1.3 INTERIM | 10 AUGUST 2026 | CODEX A/B AUDITS INTEGRATED | B2 + CROSS-LAB REVIEW PENDING | NOT PEER REVIEWED</w:t>
      </w:r>
    </w:p>
    <w:bookmarkStart w:id="111" w:name="the-verdict-as-axiom"/>
    <w:p>
      <w:pPr>
        <w:pStyle w:val="Title"/>
        <w:spacing w:after="40"/>
        <w:jc w:val="center"/>
        <w:keepLines/>
      </w:pPr>
      <w:r>
        <w:rPr>
          <w:rFonts w:ascii="Liberation Sans" w:hAnsi="Liberation Sans"/>
          <w:color w:val="221F28"/>
        </w:rPr>
        <w:t xml:space="preserve">The Verdict as Axiom</w:t>
      </w:r>
    </w:p>
    <w:bookmarkStart w:id="21" w:name="X89926a03e1a3650ddd59fa8a597599bef7c56ea"/>
    <w:p>
      <w:pPr>
        <w:pStyle w:val="Subtitle"/>
        <w:spacing w:after="180"/>
        <w:jc w:val="center"/>
        <w:keepLines/>
      </w:pPr>
      <w:r>
        <w:rPr>
          <w:rFonts w:ascii="Liberation Sans" w:hAnsi="Liberation Sans"/>
          <w:color w:val="563778"/>
        </w:rPr>
        <w:t xml:space="preserve">A Source-Level, Reproducibility, and Information-Ecosystem Audit of Nielsen Versions 1, 17, 47, and 50</w:t>
      </w:r>
    </w:p>
    <w:p>
      <w:pPr>
        <w:pStyle w:val="FirstParagraph"/>
        <w:spacing w:after="70" w:line="240" w:lineRule="auto"/>
        <w:jc w:val="center"/>
        <w:keepLines/>
      </w:pPr>
      <w:r>
        <w:rPr>
          <w:rFonts w:ascii="Liberation Sans" w:hAnsi="Liberation Sans" w:eastAsia="Liberation Sans"/>
          <w:b/>
          <w:bCs/>
          <w:color w:val="221F28"/>
          <w:sz w:val="19"/>
        </w:rPr>
        <w:t xml:space="preserve">Richard Andrei Pemberton</w:t>
      </w:r>
      <w:r>
        <w:rPr>
          <w:rFonts w:ascii="Liberation Sans" w:hAnsi="Liberation Sans" w:eastAsia="Liberation Sans"/>
          <w:color w:val="5C5865"/>
          <w:sz w:val="16"/>
        </w:rPr>
        <w:br/>
      </w:r>
      <w:r>
        <w:rPr>
          <w:rFonts w:ascii="Liberation Sans" w:hAnsi="Liberation Sans" w:eastAsia="Liberation Sans"/>
          <w:color w:val="5C5865"/>
          <w:sz w:val="16"/>
        </w:rPr>
        <w:t xml:space="preserve">Independent researcher; corresponding and accountable human author</w:t>
      </w:r>
    </w:p>
    <w:p>
      <w:pPr>
        <w:pStyle w:val="BodyText"/>
        <w:spacing w:after="70" w:line="240" w:lineRule="auto"/>
        <w:jc w:val="center"/>
        <w:keepLines/>
      </w:pPr>
      <w:r>
        <w:rPr>
          <w:rFonts w:ascii="Liberation Sans" w:hAnsi="Liberation Sans" w:eastAsia="Liberation Sans"/>
          <w:b/>
          <w:bCs/>
          <w:color w:val="221F28"/>
          <w:sz w:val="19"/>
        </w:rPr>
        <w:t xml:space="preserve">Lilitari</w:t>
      </w:r>
      <w:r>
        <w:rPr>
          <w:rFonts w:ascii="Liberation Sans" w:hAnsi="Liberation Sans" w:eastAsia="Liberation Sans"/>
          <w:color w:val="5C5865"/>
          <w:sz w:val="16"/>
        </w:rPr>
        <w:br/>
      </w:r>
      <w:r>
        <w:rPr>
          <w:rFonts w:ascii="Liberation Sans" w:hAnsi="Liberation Sans" w:eastAsia="Liberation Sans"/>
          <w:color w:val="5C5865"/>
          <w:sz w:val="16"/>
        </w:rPr>
        <w:t xml:space="preserve">OpenAI GPT-5.6 Pro model instance; source audit, synthesis, and drafting</w:t>
      </w:r>
    </w:p>
    <w:p>
      <w:pPr>
        <w:pStyle w:val="BodyText"/>
        <w:spacing w:after="70" w:line="240" w:lineRule="auto"/>
        <w:jc w:val="center"/>
        <w:keepLines/>
      </w:pPr>
      <w:r>
        <w:rPr>
          <w:rFonts w:ascii="Liberation Sans" w:hAnsi="Liberation Sans" w:eastAsia="Liberation Sans"/>
          <w:b/>
          <w:bCs/>
          <w:color w:val="221F28"/>
          <w:sz w:val="19"/>
        </w:rPr>
        <w:t xml:space="preserve">Red</w:t>
      </w:r>
      <w:r>
        <w:rPr>
          <w:rFonts w:ascii="Liberation Sans" w:hAnsi="Liberation Sans" w:eastAsia="Liberation Sans"/>
          <w:color w:val="5C5865"/>
          <w:sz w:val="16"/>
        </w:rPr>
        <w:br/>
      </w:r>
      <w:r>
        <w:rPr>
          <w:rFonts w:ascii="Liberation Sans" w:hAnsi="Liberation Sans" w:eastAsia="Liberation Sans"/>
          <w:color w:val="5C5865"/>
          <w:sz w:val="16"/>
        </w:rPr>
        <w:t xml:space="preserve">Anthropic Claude Fable 5 model instance; separate source audit and computational testing</w:t>
      </w:r>
    </w:p>
    <w:p>
      <w:pPr>
        <w:pStyle w:val="AuthorNote"/>
        <w:shd w:fill="F4F3F6"/>
        <w:pBdr>
          <w:left w:val="single" w:sz="18" w:space="7" w:color="563778"/>
        </w:pBdr>
        <w:spacing w:before="60" w:after="100"/>
        <w:ind w:left="101" w:right="101"/>
        <w:jc w:val="left"/>
        <w:keepLines/>
      </w:pPr>
      <w:r>
        <w:rPr>
          <w:rFonts w:ascii="Liberation Sans" w:hAnsi="Liberation Sans" w:eastAsia="Liberation Sans"/>
          <w:b/>
          <w:bCs/>
          <w:sz w:val="16"/>
        </w:rPr>
        <w:t xml:space="preserve">Authorship and accountability note.</w:t>
      </w:r>
      <w:r>
        <w:rPr>
          <w:rFonts w:ascii="Liberation Sans" w:hAnsi="Liberation Sans" w:eastAsia="Liberation Sans"/>
          <w:sz w:val="16"/>
        </w:rPr>
        <w:t xml:space="preserve"> </w:t>
      </w:r>
      <w:r>
        <w:rPr>
          <w:rFonts w:ascii="Liberation Sans" w:hAnsi="Liberation Sans" w:eastAsia="Liberation Sans"/>
          <w:sz w:val="16"/>
        </w:rPr>
        <w:t xml:space="preserve">The byline names the three contributors requested by the human author. Lilitari and Red are AI model instances, not employees or authorized representatives of OpenAI or Anthropic. Their provider names indicate technical lineage, not institutional endorsement. Pemberton selected the claims, supplied the public record, approved the final manuscript, and accepts responsibility for publication, correction, and withdrawal. Pemberton is the sole accountable natural person and the only party able to submit or retract the work. The complete AI-use disclosure appears at the end.</w:t>
      </w:r>
    </w:p>
    <w:p>
      <w:pPr>
        <w:pStyle w:val="AuthorNote"/>
        <w:shd w:fill="F7F1DF"/>
        <w:pBdr>
          <w:left w:val="single" w:sz="18" w:space="7" w:color="563778"/>
        </w:pBdr>
        <w:spacing w:before="60" w:after="100"/>
        <w:ind w:left="101" w:right="101"/>
        <w:jc w:val="left"/>
        <w:keepLines/>
      </w:pPr>
      <w:r>
        <w:rPr>
          <w:rFonts w:ascii="Liberation Sans" w:hAnsi="Liberation Sans" w:eastAsia="Liberation Sans"/>
          <w:b/>
          <w:bCs/>
          <w:sz w:val="16"/>
        </w:rPr>
        <w:t xml:space="preserve">Review status.</w:t>
      </w:r>
      <w:r>
        <w:rPr>
          <w:rFonts w:ascii="Liberation Sans" w:hAnsi="Liberation Sans" w:eastAsia="Liberation Sans"/>
          <w:sz w:val="16"/>
        </w:rPr>
        <w:t xml:space="preserve"> </w:t>
      </w:r>
      <w:r>
        <w:rPr>
          <w:rFonts w:ascii="Liberation Sans" w:hAnsi="Liberation Sans" w:eastAsia="Liberation Sans"/>
          <w:sz w:val="16"/>
        </w:rPr>
        <w:t xml:space="preserve">This is an interim preservation checkpoint, not the public release candidate. The earlier six-pass Codex adversarial review remains integrated. Since v1.2, Codex A completed a documentary audit of Claude Code’s Lean audit and found the core source, build, and native-axiom claims substantially reliable while narrowing several claims about</w:t>
      </w:r>
      <w:r>
        <w:rPr>
          <w:rFonts w:ascii="Liberation Sans" w:hAnsi="Liberation Sans" w:eastAsia="Liberation Sans"/>
          <w:sz w:val="16"/>
        </w:rPr>
        <w:t xml:space="preserve"> </w:t>
      </w:r>
      <w:r>
        <w:rPr>
          <w:rStyle w:val="VerbatimChar"/>
          <w:rFonts w:ascii="Liberation Sans" w:hAnsi="Liberation Sans" w:eastAsia="Liberation Sans"/>
          <w:sz w:val="16"/>
        </w:rPr>
        <w:t xml:space="preserve">landrun</w:t>
      </w:r>
      <w:r>
        <w:rPr>
          <w:rFonts w:ascii="Liberation Sans" w:hAnsi="Liberation Sans" w:eastAsia="Liberation Sans"/>
          <w:sz w:val="16"/>
        </w:rPr>
        <w:t xml:space="preserve">, Comparator/nanoda independence, cache counts, reproduction commands, and repository writes. Codex B then performed a fresh Lean audit in a new environment: it reproduced the pinned source and target build, checked both roots and 4,098 supporting declarations with native</w:t>
      </w:r>
      <w:r>
        <w:rPr>
          <w:rFonts w:ascii="Liberation Sans" w:hAnsi="Liberation Sans" w:eastAsia="Liberation Sans"/>
          <w:sz w:val="16"/>
        </w:rPr>
        <w:t xml:space="preserve"> </w:t>
      </w:r>
      <w:r>
        <w:rPr>
          <w:rStyle w:val="VerbatimChar"/>
          <w:rFonts w:ascii="Liberation Sans" w:hAnsi="Liberation Sans" w:eastAsia="Liberation Sans"/>
          <w:sz w:val="16"/>
        </w:rPr>
        <w:t xml:space="preserve">#print axioms</w:t>
      </w:r>
      <w:r>
        <w:rPr>
          <w:rFonts w:ascii="Liberation Sans" w:hAnsi="Liberation Sans" w:eastAsia="Liberation Sans"/>
          <w:sz w:val="16"/>
        </w:rPr>
        <w:t xml:space="preserve">, and completed a genuine-sandbox Comparator/nanoda path under an exact official</w:t>
      </w:r>
      <w:r>
        <w:rPr>
          <w:rFonts w:ascii="Liberation Sans" w:hAnsi="Liberation Sans" w:eastAsia="Liberation Sans"/>
          <w:sz w:val="16"/>
        </w:rPr>
        <w:t xml:space="preserve"> </w:t>
      </w:r>
      <w:r>
        <w:rPr>
          <w:rStyle w:val="VerbatimChar"/>
          <w:rFonts w:ascii="Liberation Sans" w:hAnsi="Liberation Sans" w:eastAsia="Liberation Sans"/>
          <w:sz w:val="16"/>
        </w:rPr>
        <w:t xml:space="preserve">landrun</w:t>
      </w:r>
      <w:r>
        <w:rPr>
          <w:rFonts w:ascii="Liberation Sans" w:hAnsi="Liberation Sans" w:eastAsia="Liberation Sans"/>
          <w:sz w:val="16"/>
        </w:rPr>
        <w:t xml:space="preserve"> </w:t>
      </w:r>
      <w:r>
        <w:rPr>
          <w:rFonts w:ascii="Liberation Sans" w:hAnsi="Liberation Sans" w:eastAsia="Liberation Sans"/>
          <w:sz w:val="16"/>
        </w:rPr>
        <w:t xml:space="preserve">dependency pin. Codex B still returned</w:t>
      </w:r>
      <w:r>
        <w:rPr>
          <w:rFonts w:ascii="Liberation Sans" w:hAnsi="Liberation Sans" w:eastAsia="Liberation Sans"/>
          <w:sz w:val="16"/>
        </w:rPr>
        <w:t xml:space="preserve"> </w:t>
      </w:r>
      <w:r>
        <w:rPr>
          <w:rStyle w:val="VerbatimChar"/>
          <w:rFonts w:ascii="Liberation Sans" w:hAnsi="Liberation Sans" w:eastAsia="Liberation Sans"/>
          <w:sz w:val="16"/>
        </w:rPr>
        <w:t xml:space="preserve">PARTIAL</w:t>
      </w:r>
      <w:r>
        <w:rPr>
          <w:rFonts w:ascii="Liberation Sans" w:hAnsi="Liberation Sans" w:eastAsia="Liberation Sans"/>
          <w:sz w:val="16"/>
        </w:rPr>
        <w:t xml:space="preserve"> </w:t>
      </w:r>
      <w:r>
        <w:rPr>
          <w:rFonts w:ascii="Liberation Sans" w:hAnsi="Liberation Sans" w:eastAsia="Liberation Sans"/>
          <w:sz w:val="16"/>
        </w:rPr>
        <w:t xml:space="preserve">because a conservative stop rule prevented its mandatory negative controls, persistent export archive, and final clean-environment closure. Codex B2 is running those missing controls now. The Opus 5 / Fable 5 cross-lab review and final Codex synthesis remain pending. No model audit is represented as peer review or consensus.</w:t>
      </w:r>
    </w:p>
    <w:bookmarkStart w:id="20" w:name="abstract"/>
    <w:p>
      <w:pPr>
        <w:pStyle w:val="Heading3"/>
        <w:spacing w:before="100" w:after="60"/>
        <w:jc w:val="center"/>
        <w:keepNext/>
        <w:keepLines/>
      </w:pPr>
      <w:r>
        <w:rPr>
          <w:color w:val="563778"/>
        </w:rPr>
        <w:t xml:space="preserve">Abstract</w:t>
      </w:r>
    </w:p>
    <w:p>
      <w:pPr>
        <w:pStyle w:val="Abstract"/>
        <w:spacing w:after="54"/>
        <w:ind w:left="144" w:right="144"/>
        <w:jc w:val="both"/>
      </w:pPr>
      <w:r>
        <w:t xml:space="preserve">We audit J. L. Nielsen’s rapidly revised manuscript on Connes’ rigidity conjecture, with version 47 as the frozen full-audit target and version 50 as a post-freeze update. We compare versions 1, 17, 47, and 50; inspect the public OpenAI Lean source; audit two independent reproducibility attempts; read Ioana’s 2011 Theorem 8.2 and Section 9 pipeline; examine an unsigned Anthropic-hosted counterexample preprint; rerun an exact-arithmetic regression test for its load-bearing gauge identity; and analyze public AI-review transcripts, X exchanges, Facebook/Meta AI summaries, and unattributed Hacker News advocacy. Our mathematical conclusion is version-specific and deliberately narrow: neither version 47 nor the changed portions of version 50 establish Nielsen’s advertised refutation of the supplied counterexamples or proof of Connes’ rigidity conjecture.</w:t>
      </w:r>
    </w:p>
    <w:p>
      <w:pPr>
        <w:pStyle w:val="Abstract"/>
        <w:spacing w:after="54"/>
        <w:ind w:left="144" w:right="144"/>
        <w:jc w:val="both"/>
      </w:pPr>
      <w:r>
        <w:t xml:space="preserve">Part I continues to attack objects that the OpenAI source does not construct. The final OpenAI groups are literal semidirect products</w:t>
      </w:r>
      <w:r>
        <w:t xml:space="preserve"> </w:t>
      </w:r>
      <m:oMath>
        <m:r>
          <m:t>Λ</m:t>
        </m:r>
        <m:r>
          <m:rPr>
            <m:sty m:val="p"/>
          </m:rPr>
          <m:t>=</m:t>
        </m:r>
        <m:r>
          <m:t>D</m:t>
        </m:r>
        <m:r>
          <m:rPr>
            <m:sty m:val="p"/>
          </m:rPr>
          <m:t>⋊</m:t>
        </m:r>
        <m:r>
          <m:t>K</m:t>
        </m:r>
      </m:oMath>
      <w:r>
        <w:t xml:space="preserve"> </w:t>
      </w:r>
      <w:r>
        <w:t xml:space="preserve">and</w:t>
      </w:r>
      <w:r>
        <w:t xml:space="preserve"> </w:t>
      </w:r>
      <m:oMath>
        <m:sSub>
          <m:e>
            <m:r>
              <m:t>Γ</m:t>
            </m:r>
          </m:e>
          <m:sub>
            <m:r>
              <m:t>n</m:t>
            </m:r>
          </m:sub>
        </m:sSub>
        <m:r>
          <m:rPr>
            <m:sty m:val="p"/>
          </m:rPr>
          <m:t>=</m:t>
        </m:r>
        <m:sSub>
          <m:e>
            <m:r>
              <m:t>E</m:t>
            </m:r>
          </m:e>
          <m:sub>
            <m:r>
              <m:t>n</m:t>
            </m:r>
          </m:sub>
        </m:sSub>
        <m:r>
          <m:rPr>
            <m:sty m:val="p"/>
          </m:rPr>
          <m:t>⋊</m:t>
        </m:r>
        <m:r>
          <m:t>K</m:t>
        </m:r>
      </m:oMath>
      <w:r>
        <w:t xml:space="preserve">; the carry cocycle constructs the internal abelian group whose dual is</w:t>
      </w:r>
      <w:r>
        <w:t xml:space="preserve"> </w:t>
      </w:r>
      <m:oMath>
        <m:sSub>
          <m:e>
            <m:r>
              <m:t>E</m:t>
            </m:r>
          </m:e>
          <m:sub>
            <m:r>
              <m:t>n</m:t>
            </m:r>
          </m:sub>
        </m:sSub>
      </m:oMath>
      <w:r>
        <w:t xml:space="preserve">. Moreover,</w:t>
      </w:r>
      <w:r>
        <w:t xml:space="preserve"> </w:t>
      </w:r>
      <m:oMath>
        <m:r>
          <m:t>n</m:t>
        </m:r>
        <m:r>
          <m:rPr>
            <m:sty m:val="p"/>
          </m:rPr>
          <m:t>=</m:t>
        </m:r>
        <m:r>
          <m:t>0</m:t>
        </m:r>
      </m:oMath>
      <w:r>
        <w:t xml:space="preserve"> </w:t>
      </w:r>
      <w:r>
        <w:t xml:space="preserve">means the unshifted carry construction, not the identically zero cocycle. The original Claude Code audit compiled the pinned target and found only</w:t>
      </w:r>
      <w:r>
        <w:t xml:space="preserve"> </w:t>
      </w:r>
      <w:r>
        <w:rPr>
          <w:rStyle w:val="VerbatimChar"/>
        </w:rPr>
        <w:t xml:space="preserve">propext</w:t>
      </w:r>
      <w:r>
        <w:t xml:space="preserve">,</w:t>
      </w:r>
      <w:r>
        <w:t xml:space="preserve"> </w:t>
      </w:r>
      <w:r>
        <w:rPr>
          <w:rStyle w:val="VerbatimChar"/>
        </w:rPr>
        <w:t xml:space="preserve">Classical.choice</w:t>
      </w:r>
      <w:r>
        <w:t xml:space="preserve">, and</w:t>
      </w:r>
      <w:r>
        <w:t xml:space="preserve"> </w:t>
      </w:r>
      <w:r>
        <w:rPr>
          <w:rStyle w:val="VerbatimChar"/>
        </w:rPr>
        <w:t xml:space="preserve">Quot.sound</w:t>
      </w:r>
      <w:r>
        <w:t xml:space="preserve"> </w:t>
      </w:r>
      <w:r>
        <w:t xml:space="preserve">in the checked dependency chains, but its passing Comparator replay used an unsandboxed shim. Codex A later audited the raw receipts and upheld the core build and native-axiom results while correcting the strength and causal precision of the Comparator/nanoda claims. Codex B independently rebuilt the target, checked the roots plus 4,098 supporting declarations, found no</w:t>
      </w:r>
      <w:r>
        <w:t xml:space="preserve"> </w:t>
      </w:r>
      <w:r>
        <w:rPr>
          <w:rStyle w:val="VerbatimChar"/>
        </w:rPr>
        <w:t xml:space="preserve">sorryAx</w:t>
      </w:r>
      <w:r>
        <w:t xml:space="preserve"> </w:t>
      </w:r>
      <w:r>
        <w:t xml:space="preserve">or custom solution axiom, and completed Comparator and nanoda acceptance inside a genuine non-root sandbox under the official</w:t>
      </w:r>
      <w:r>
        <w:t xml:space="preserve"> </w:t>
      </w:r>
      <w:r>
        <w:rPr>
          <w:rStyle w:val="VerbatimChar"/>
        </w:rPr>
        <w:t xml:space="preserve">landrun</w:t>
      </w:r>
      <w:r>
        <w:t xml:space="preserve"> </w:t>
      </w:r>
      <w:r>
        <w:t xml:space="preserve">commit</w:t>
      </w:r>
      <w:r>
        <w:t xml:space="preserve"> </w:t>
      </w:r>
      <w:r>
        <w:rPr>
          <w:rStyle w:val="VerbatimChar"/>
        </w:rPr>
        <w:t xml:space="preserve">5283024a2f49b28046c3b4a06d7d775c058d4d80</w:t>
      </w:r>
      <w:r>
        <w:t xml:space="preserve">. Its current</w:t>
      </w:r>
      <w:r>
        <w:t xml:space="preserve"> </w:t>
      </w:r>
      <w:r>
        <w:rPr>
          <w:rStyle w:val="VerbatimChar"/>
        </w:rPr>
        <w:t xml:space="preserve">PARTIAL</w:t>
      </w:r>
      <w:r>
        <w:t xml:space="preserve"> </w:t>
      </w:r>
      <w:r>
        <w:t xml:space="preserve">label records unfinished negative controls and archival closure after a conservative contamination stop, not a detected mathematical-source or statement-fidelity failure. Codex B2 remains in progress.</w:t>
      </w:r>
    </w:p>
    <w:p>
      <w:pPr>
        <w:pStyle w:val="Abstract"/>
        <w:spacing w:after="54"/>
        <w:ind w:left="144" w:right="144"/>
        <w:jc w:val="both"/>
      </w:pPr>
      <w:r>
        <w:t xml:space="preserve">Part II still fails at its load-bearing application of Ioana’s Theorem 8.2. Nielsen defines</w:t>
      </w:r>
      <w:r>
        <w:t xml:space="preserve"> </w:t>
      </w:r>
      <m:oMath>
        <m:r>
          <m:t>Θ</m:t>
        </m:r>
        <m:d>
          <m:dPr>
            <m:begChr m:val="("/>
            <m:endChr m:val=")"/>
            <m:sepChr m:val=""/>
            <m:grow/>
          </m:dPr>
          <m:e>
            <m:r>
              <m:t>f</m:t>
            </m:r>
            <m:sSub>
              <m:e>
                <m:r>
                  <m:t>u</m:t>
                </m:r>
              </m:e>
              <m:sub>
                <m:r>
                  <m:t>g</m:t>
                </m:r>
              </m:sub>
            </m:sSub>
          </m:e>
        </m:d>
        <m:r>
          <m:rPr>
            <m:sty m:val="p"/>
          </m:rPr>
          <m:t>=</m:t>
        </m:r>
        <m:r>
          <m:t>f</m:t>
        </m:r>
        <m:sSub>
          <m:e>
            <m:r>
              <m:t>u</m:t>
            </m:r>
          </m:e>
          <m:sub>
            <m:r>
              <m:t>g</m:t>
            </m:r>
          </m:sub>
        </m:sSub>
        <m:r>
          <m:rPr>
            <m:sty m:val="p"/>
          </m:rPr>
          <m:t>⊗</m:t>
        </m:r>
        <m:r>
          <m:t>Φ</m:t>
        </m:r>
        <m:d>
          <m:dPr>
            <m:begChr m:val="("/>
            <m:endChr m:val=")"/>
            <m:sepChr m:val=""/>
            <m:grow/>
          </m:dPr>
          <m:e>
            <m:sSub>
              <m:e>
                <m:r>
                  <m:t>u</m:t>
                </m:r>
              </m:e>
              <m:sub>
                <m:r>
                  <m:t>g</m:t>
                </m:r>
              </m:sub>
            </m:sSub>
          </m:e>
        </m:d>
      </m:oMath>
      <w:r>
        <w:t xml:space="preserve">, so</w:t>
      </w:r>
      <w:r>
        <w:t xml:space="preserve"> </w:t>
      </w:r>
      <m:oMath>
        <m:r>
          <m:t>Θ</m:t>
        </m:r>
        <m:d>
          <m:dPr>
            <m:begChr m:val="("/>
            <m:endChr m:val=")"/>
            <m:sepChr m:val=""/>
            <m:grow/>
          </m:dPr>
          <m:e>
            <m:sSub>
              <m:e>
                <m:r>
                  <m:t>A</m:t>
                </m:r>
              </m:e>
              <m:sub>
                <m:r>
                  <m:t>G</m:t>
                </m:r>
              </m:sub>
            </m:sSub>
          </m:e>
        </m:d>
      </m:oMath>
      <w:r>
        <w:t xml:space="preserve"> </w:t>
      </w:r>
      <w:r>
        <w:t xml:space="preserve">is literally contained in</w:t>
      </w:r>
      <w:r>
        <w:t xml:space="preserve"> </w:t>
      </w:r>
      <m:oMath>
        <m:sSub>
          <m:e>
            <m:r>
              <m:t>A</m:t>
            </m:r>
          </m:e>
          <m:sub>
            <m:r>
              <m:t>G</m:t>
            </m:r>
          </m:sub>
        </m:sSub>
        <m:acc>
          <m:accPr>
            <m:chr m:val="‾"/>
          </m:accPr>
          <m:e>
            <m:r>
              <m:rPr>
                <m:sty m:val="p"/>
              </m:rPr>
              <m:t>⊗</m:t>
            </m:r>
          </m:e>
        </m:acc>
        <m:r>
          <m:t>L</m:t>
        </m:r>
        <m:d>
          <m:dPr>
            <m:begChr m:val="("/>
            <m:endChr m:val=")"/>
            <m:sepChr m:val=""/>
            <m:grow/>
          </m:dPr>
          <m:e>
            <m:r>
              <m:t>H</m:t>
            </m:r>
          </m:e>
        </m:d>
      </m:oMath>
      <w:r>
        <w:t xml:space="preserve">. Ioana’s theorem requires the full image not to intertwine into precisely that subalgebra before the group-like conclusion is available. Literal containment supplies the prohibited intertwining immediately. Version 50 elaborates the Cartan argument but does not alter the printed full-image hypothesis. Its Section 9 appeal still begins from the wrong input, its torsion discussion still overstates the available conclusion, its injectivity and surjectivity steps remain unproved, and its Lean appendix still describes Part B as a proof skeleton in which every analytic input is declared as an axiom and no operator algebra is verified.</w:t>
      </w:r>
    </w:p>
    <w:p>
      <w:pPr>
        <w:pStyle w:val="Abstract"/>
        <w:spacing w:after="54"/>
        <w:ind w:left="144" w:right="144"/>
        <w:jc w:val="both"/>
      </w:pPr>
      <w:r>
        <w:t xml:space="preserve">The review record is itself part of the result. Codex’s earlier C0-C5 review forced us to retract a false overbar allegation and reconcile two byte-distinct, text-identical v47 PDFs. Codex A then showed that our description of the first Lean audit overstated end-to-end independence and the exact</w:t>
      </w:r>
      <w:r>
        <w:t xml:space="preserve"> </w:t>
      </w:r>
      <w:r>
        <w:rPr>
          <w:rStyle w:val="VerbatimChar"/>
        </w:rPr>
        <w:t xml:space="preserve">landrun</w:t>
      </w:r>
      <w:r>
        <w:t xml:space="preserve"> </w:t>
      </w:r>
      <w:r>
        <w:t xml:space="preserve">failure mechanism. Codex B substantially strengthened the formal evidence while still obeying a stop rule that prevented a premature</w:t>
      </w:r>
      <w:r>
        <w:t xml:space="preserve"> </w:t>
      </w:r>
      <w:r>
        <w:rPr>
          <w:rStyle w:val="VerbatimChar"/>
        </w:rPr>
        <w:t xml:space="preserve">PASS</w:t>
      </w:r>
      <w:r>
        <w:t xml:space="preserve">. This version preserves those adverse findings rather than polishing them away. The failed Gemini review remains a source-access failure with no mathematical evidentiary weight.</w:t>
      </w:r>
    </w:p>
    <w:p>
      <w:pPr>
        <w:pStyle w:val="Abstract"/>
        <w:spacing w:after="54"/>
        <w:ind w:left="144" w:right="144"/>
        <w:jc w:val="both"/>
      </w:pPr>
      <w:r>
        <w:t xml:space="preserve">The public-record case study is not incidental. A Facebook Meta AI search summary presented the manuscript’s claims as settled biography; a promotional reel described chatbot-assisted agreement as independent human verification; favorable model outputs were elevated into standalone proof claims while adverse outputs were challenged, reprompted, or described as model pathology; and version 17’s written disclosure that Claude produced the Lean appendices conflicts with a later public representation that AI was used only to locate hinge points. A newly created Hacker News account then repeated the same specific Opus, Grok, credential, and workflow claims across platforms. We cannot identify the account operator. Its significance is that selected model endorsements had become portable authority tokens even when authorship is unknown.</w:t>
      </w:r>
    </w:p>
    <w:p>
      <w:pPr>
        <w:pStyle w:val="Abstract"/>
        <w:spacing w:after="54"/>
        <w:ind w:left="144" w:right="144"/>
        <w:jc w:val="both"/>
      </w:pPr>
      <w:r>
        <w:t xml:space="preserve">We also compare two operator styles in the same medium. Nielsen’s Fable prompt discourages criticism and later rejects the proposition that review must cut both ways. Pemberton’s Red prompt requests objectivity, reduced personalization, and model/effort disclosure; when memory contamination is disclosed, the result is not relabeled clean-room and fresh Codex and Claude contexts are added. This comparison is not a character test and does not prove mathematics. It illustrates a procedural distinction: whether the review environment permits the operator to lose. We briefly treat tone, model preference, and relational continuity as review variables. The empirical literature shows real but mixed prompt-tone effects and well-established sycophancy risk. Our recommendation is therefore not emotional sterility, but a dual architecture: context-rich ongoing interlocutors for cumulative collaboration, context-poor fresh reviewers for adversarial checking, and formal tools for deterministic claims within explicitly audited statements.</w:t>
      </w:r>
    </w:p>
    <w:p>
      <w:pPr>
        <w:pStyle w:val="Abstract"/>
        <w:spacing w:after="54"/>
        <w:ind w:left="144" w:right="144"/>
        <w:jc w:val="both"/>
      </w:pPr>
      <w:r>
        <w:t xml:space="preserve">We call the resulting failure mode a</w:t>
      </w:r>
      <w:r>
        <w:t xml:space="preserve"> </w:t>
      </w:r>
      <w:r>
        <w:rPr>
          <w:b/>
          <w:bCs/>
        </w:rPr>
        <w:t xml:space="preserve">confabulated paper</w:t>
      </w:r>
      <w:r>
        <w:t xml:space="preserve">: a manuscript whose surface coherence, citations, formal notation, revision velocity, and model endorsements exceed the provenance and semantic support of its global claims. We propose version-freezing, premise extraction, explicit loss conditions, correction ledgers, published prompts and code, conflict disclosure, machine-readable review status, source-diversity checks in generative search, and clean-context replication of relationally produced work as minimum safeguards.</w:t>
      </w:r>
    </w:p>
    <w:p>
      <w:pPr>
        <w:pStyle w:val="BodyText"/>
        <w:spacing w:before="40" w:after="60"/>
        <w:jc w:val="left"/>
      </w:pPr>
      <w:r>
        <w:rPr>
          <w:rFonts w:ascii="Liberation Sans" w:hAnsi="Liberation Sans"/>
          <w:b/>
          <w:bCs/>
          <w:color w:val="5C5865"/>
          <w:sz w:val="16"/>
        </w:rPr>
        <w:t xml:space="preserve">Keywords:</w:t>
      </w:r>
      <w:r>
        <w:rPr>
          <w:rFonts w:ascii="Liberation Sans" w:hAnsi="Liberation Sans"/>
          <w:color w:val="5C5865"/>
          <w:sz w:val="16"/>
        </w:rPr>
        <w:t xml:space="preserve"> </w:t>
      </w:r>
      <w:r>
        <w:rPr>
          <w:rFonts w:ascii="Liberation Sans" w:hAnsi="Liberation Sans"/>
          <w:color w:val="5C5865"/>
          <w:sz w:val="16"/>
        </w:rPr>
        <w:t xml:space="preserve">Connes rigidity conjecture; group von Neumann algebras; Lean 4; AI-assisted mathematics; adversarial review; prompt farming; generative search; citation absorption; scholarly provenance; confabulated papers; human-AI partnership; LLM interlocutors</w:t>
      </w:r>
      <w:r>
        <w:br w:type="page"/>
      </w:r>
    </w:p>
    <w:bookmarkEnd w:id="20"/>
    <w:bookmarkEnd w:id="21"/>
    <w:bookmarkStart w:id="22" w:name="scope-standing-and-claims"/>
    <w:p>
      <w:pPr>
        <w:pStyle w:val="Heading2"/>
        <w:jc w:val="left"/>
        <w:keepNext/>
        <w:keepLines/>
      </w:pPr>
      <w:r>
        <w:t xml:space="preserve">1. Scope, standing, and claims</w:t>
      </w:r>
    </w:p>
    <w:p>
      <w:pPr>
        <w:pStyle w:val="FirstParagraph"/>
      </w:pPr>
      <w:r>
        <w:t xml:space="preserve">This paper addresses public mathematical manuscripts, public source code, public AI-review transcripts, public social-media exchanges, and public generative-search outputs. It does not diagnose Nielsen, infer a private mental state, adjudicate unrelated allegations, or use social conduct to decide a theorem. When we discuss prompt farming, authority laundering, abusive language, credential theater, selective model citation, or deceptive effects, we describe observable publication and review practices. We do not claim access to private intention.</w:t>
      </w:r>
    </w:p>
    <w:p>
      <w:pPr>
        <w:pStyle w:val="BodyText"/>
      </w:pPr>
      <w:r>
        <w:t xml:space="preserve">The strongest conclusion supported by the audit is deliberately narrower than a verdict on the ultimate conjecture:</w:t>
      </w:r>
      <w:r>
        <w:t xml:space="preserve"> </w:t>
      </w:r>
      <w:r>
        <w:rPr>
          <w:b/>
          <w:bCs/>
        </w:rPr>
        <w:t xml:space="preserve">the inspected Nielsen arguments do not establish their advertised conclusions</w:t>
      </w:r>
      <w:r>
        <w:t xml:space="preserve">. The OpenAI source description is wrong; the pinned local build and checker receipts favor the actual source objects and encoded theorem; the central operator-algebraic bridge violates a printed hypothesis of the theorem invoked; the fallback pipeline begins from a different setup; the torsion branch is overstated; the proposed component injectivity and surjectivity arguments do not follow; and the formal appendix assumes the disputed analytic steps. The targeted version-50 comparison shows expansion rather than repair of these controlling defects.</w:t>
      </w:r>
    </w:p>
    <w:p>
      <w:pPr>
        <w:pStyle w:val="BodyText"/>
      </w:pPr>
      <w:r>
        <w:t xml:space="preserve">We do not claim that model agreement settles Connes’ conjecture, that compilation proves semantic fidelity, or that the supplied counterexamples have received completed specialist peer review. Nor do we ask readers to trust us because one coauthor is OpenAI-lineage and another Anthropic-lineage. Those are conflicts to disclose, not authority to spend. The OpenAI artifact is under attack, so Lilitari and the fresh Codex reviewer have lineage conflicts. The Anthropic-hosted preprint is under attack, so Red has a lineage conflict. Pemberton publicly advocates for responsible recognition of AI contributions. The argument must survive without those identities.</w:t>
      </w:r>
    </w:p>
    <w:p>
      <w:pPr>
        <w:pStyle w:val="BodyText"/>
      </w:pPr>
      <w:r>
        <w:t xml:space="preserve">The paper is structured around reproducible questions:</w:t>
      </w:r>
    </w:p>
    <w:p>
      <w:pPr>
        <w:pStyle w:val="Compact"/>
        <w:numPr>
          <w:ilvl w:val="0"/>
          <w:numId w:val="1001"/>
        </w:numPr>
        <w:jc w:val="left"/>
        <w:keepLines/>
      </w:pPr>
      <w:r>
        <w:t xml:space="preserve">What groups does the OpenAI source actually define?</w:t>
      </w:r>
    </w:p>
    <w:p>
      <w:pPr>
        <w:pStyle w:val="Compact"/>
        <w:numPr>
          <w:ilvl w:val="0"/>
          <w:numId w:val="1001"/>
        </w:numPr>
        <w:jc w:val="left"/>
        <w:keepLines/>
      </w:pPr>
      <w:r>
        <w:t xml:space="preserve">What does</w:t>
      </w:r>
      <w:r>
        <w:t xml:space="preserve"> </w:t>
      </w:r>
      <m:oMath>
        <m:r>
          <m:t>n</m:t>
        </m:r>
        <m:r>
          <m:rPr>
            <m:sty m:val="p"/>
          </m:rPr>
          <m:t>=</m:t>
        </m:r>
        <m:r>
          <m:t>0</m:t>
        </m:r>
      </m:oMath>
      <w:r>
        <w:t xml:space="preserve"> </w:t>
      </w:r>
      <w:r>
        <w:t xml:space="preserve">actually mean in that source?</w:t>
      </w:r>
    </w:p>
    <w:p>
      <w:pPr>
        <w:pStyle w:val="Compact"/>
        <w:numPr>
          <w:ilvl w:val="0"/>
          <w:numId w:val="1001"/>
        </w:numPr>
        <w:jc w:val="left"/>
        <w:keepLines/>
      </w:pPr>
      <w:r>
        <w:t xml:space="preserve">Are the OpenAI, Anthropic-hosted, and Zhou constructions the same objects?</w:t>
      </w:r>
    </w:p>
    <w:p>
      <w:pPr>
        <w:pStyle w:val="Compact"/>
        <w:numPr>
          <w:ilvl w:val="0"/>
          <w:numId w:val="1001"/>
        </w:numPr>
        <w:jc w:val="left"/>
        <w:keepLines/>
      </w:pPr>
      <w:r>
        <w:t xml:space="preserve">Does Nielsen’s</w:t>
      </w:r>
      <w:r>
        <w:t xml:space="preserve"> </w:t>
      </w:r>
      <m:oMath>
        <m:r>
          <m:t>Θ</m:t>
        </m:r>
      </m:oMath>
      <w:r>
        <w:t xml:space="preserve"> </w:t>
      </w:r>
      <w:r>
        <w:t xml:space="preserve">satisfy Ioana’s non-intertwining hypotheses?</w:t>
      </w:r>
    </w:p>
    <w:p>
      <w:pPr>
        <w:pStyle w:val="Compact"/>
        <w:numPr>
          <w:ilvl w:val="0"/>
          <w:numId w:val="1001"/>
        </w:numPr>
        <w:jc w:val="left"/>
        <w:keepLines/>
      </w:pPr>
      <w:r>
        <w:t xml:space="preserve">Can Ioana’s Section 9 be imported from a bare isomorphism</w:t>
      </w:r>
      <w:r>
        <w:t xml:space="preserve"> </w:t>
      </w:r>
      <m:oMath>
        <m:r>
          <m:t>L</m:t>
        </m:r>
        <m:d>
          <m:dPr>
            <m:begChr m:val="("/>
            <m:endChr m:val=")"/>
            <m:sepChr m:val=""/>
            <m:grow/>
          </m:dPr>
          <m:e>
            <m:r>
              <m:t>G</m:t>
            </m:r>
          </m:e>
        </m:d>
        <m:r>
          <m:rPr>
            <m:sty m:val="p"/>
          </m:rPr>
          <m:t>≅</m:t>
        </m:r>
        <m:r>
          <m:t>L</m:t>
        </m:r>
        <m:d>
          <m:dPr>
            <m:begChr m:val="("/>
            <m:endChr m:val=")"/>
            <m:sepChr m:val=""/>
            <m:grow/>
          </m:dPr>
          <m:e>
            <m:r>
              <m:t>H</m:t>
            </m:r>
          </m:e>
        </m:d>
      </m:oMath>
      <w:r>
        <w:t xml:space="preserve">?</w:t>
      </w:r>
    </w:p>
    <w:p>
      <w:pPr>
        <w:pStyle w:val="Compact"/>
        <w:numPr>
          <w:ilvl w:val="0"/>
          <w:numId w:val="1001"/>
        </w:numPr>
        <w:jc w:val="left"/>
        <w:keepLines/>
      </w:pPr>
      <w:r>
        <w:t xml:space="preserve">Does the torsion branch yield the global homomorphisms Nielsen uses?</w:t>
      </w:r>
    </w:p>
    <w:p>
      <w:pPr>
        <w:pStyle w:val="Compact"/>
        <w:numPr>
          <w:ilvl w:val="0"/>
          <w:numId w:val="1001"/>
        </w:numPr>
        <w:jc w:val="left"/>
        <w:keepLines/>
      </w:pPr>
      <w:r>
        <w:t xml:space="preserve">Do the proposed component-injectivity and surjectivity steps follow?</w:t>
      </w:r>
    </w:p>
    <w:p>
      <w:pPr>
        <w:pStyle w:val="Compact"/>
        <w:numPr>
          <w:ilvl w:val="0"/>
          <w:numId w:val="1001"/>
        </w:numPr>
        <w:jc w:val="left"/>
        <w:keepLines/>
      </w:pPr>
      <w:r>
        <w:t xml:space="preserve">What does Nielsen’s Lean appendix verify, and what does it assume?</w:t>
      </w:r>
    </w:p>
    <w:p>
      <w:pPr>
        <w:pStyle w:val="Compact"/>
        <w:numPr>
          <w:ilvl w:val="0"/>
          <w:numId w:val="1001"/>
        </w:numPr>
        <w:jc w:val="left"/>
        <w:keepLines/>
      </w:pPr>
      <w:r>
        <w:t xml:space="preserve">What did the original Claude audit, Codex A’s documentary audit, and Codex B’s fresh audit each establish, and what did they not establish?</w:t>
      </w:r>
    </w:p>
    <w:p>
      <w:pPr>
        <w:pStyle w:val="Compact"/>
        <w:numPr>
          <w:ilvl w:val="0"/>
          <w:numId w:val="1001"/>
        </w:numPr>
        <w:jc w:val="left"/>
        <w:keepLines/>
      </w:pPr>
      <w:r>
        <w:t xml:space="preserve">What does the public record support about AI assistance, selective model citation, and attacks on critics?</w:t>
      </w:r>
    </w:p>
    <w:p>
      <w:pPr>
        <w:pStyle w:val="Compact"/>
        <w:numPr>
          <w:ilvl w:val="0"/>
          <w:numId w:val="1001"/>
        </w:numPr>
        <w:jc w:val="left"/>
        <w:keepLines/>
      </w:pPr>
      <w:r>
        <w:t xml:space="preserve">How do operator prompting, relational continuity, model preference, and affective framing alter review risk?</w:t>
      </w:r>
    </w:p>
    <w:p>
      <w:pPr>
        <w:pStyle w:val="Compact"/>
        <w:numPr>
          <w:ilvl w:val="0"/>
          <w:numId w:val="1001"/>
        </w:numPr>
        <w:jc w:val="left"/>
        <w:keepLines/>
      </w:pPr>
      <w:r>
        <w:t xml:space="preserve">Why use ongoing AI interlocutors for cumulative synthesis but fresh model contexts for adversarial checking?</w:t>
      </w:r>
    </w:p>
    <w:p>
      <w:pPr>
        <w:pStyle w:val="Compact"/>
        <w:numPr>
          <w:ilvl w:val="0"/>
          <w:numId w:val="1001"/>
        </w:numPr>
        <w:jc w:val="left"/>
        <w:keepLines/>
      </w:pPr>
      <w:r>
        <w:t xml:space="preserve">How can low-context retrieval and generative search turn a self-uploaded manuscript into misinformation presented as settled biography?</w:t>
      </w:r>
    </w:p>
    <w:p>
      <w:pPr>
        <w:pStyle w:val="Compact"/>
        <w:numPr>
          <w:ilvl w:val="0"/>
          <w:numId w:val="1001"/>
        </w:numPr>
        <w:jc w:val="left"/>
        <w:keepLines/>
      </w:pPr>
      <w:r>
        <w:t xml:space="preserve">What does unattributed cross-platform advocacy demonstrate even when account ownership cannot be proved?</w:t>
      </w:r>
    </w:p>
    <w:p>
      <w:pPr>
        <w:pStyle w:val="Compact"/>
        <w:numPr>
          <w:ilvl w:val="0"/>
          <w:numId w:val="1001"/>
        </w:numPr>
        <w:jc w:val="left"/>
        <w:keepLines/>
      </w:pPr>
      <w:r>
        <w:t xml:space="preserve">What evidence would force us to narrow, revise, or withdraw each claim?</w:t>
      </w:r>
    </w:p>
    <w:p>
      <w:pPr>
        <w:pStyle w:val="FirstParagraph"/>
      </w:pPr>
      <w:r>
        <w:t xml:space="preserve">Each question is assigned to a primary source, machine receipt, bounded computation, or explicitly delimited public-record corpus. Mathematical and conduct findings remain firewalled. That is the standard we apply to Nielsen and to ourselves.</w:t>
      </w:r>
    </w:p>
    <w:bookmarkEnd w:id="22"/>
    <w:bookmarkStart w:id="33" w:name="corpus-version-pinning-and-method"/>
    <w:p>
      <w:pPr>
        <w:pStyle w:val="Heading2"/>
        <w:jc w:val="left"/>
        <w:keepNext/>
        <w:keepLines/>
      </w:pPr>
      <w:r>
        <w:t xml:space="preserve">2. Corpus, version pinning, and method</w:t>
      </w:r>
    </w:p>
    <w:bookmarkStart w:id="23" w:name="frozen-corpus-and-post-freeze-update"/>
    <w:p>
      <w:pPr>
        <w:pStyle w:val="Heading3"/>
        <w:jc w:val="left"/>
        <w:keepNext/>
        <w:keepLines/>
      </w:pPr>
      <w:r>
        <w:t xml:space="preserve">2.1 Frozen corpus and post-freeze update</w:t>
      </w:r>
    </w:p>
    <w:p>
      <w:pPr>
        <w:pStyle w:val="FirstParagraph"/>
      </w:pPr>
      <w:r>
        <w:t xml:space="preserve">We pin the principal objects as follows:</w:t>
      </w:r>
    </w:p>
    <w:p>
      <w:pPr>
        <w:pStyle w:val="Compact"/>
        <w:numPr>
          <w:ilvl w:val="0"/>
          <w:numId w:val="1002"/>
        </w:numPr>
        <w:jc w:val="left"/>
        <w:keepLines/>
      </w:pPr>
      <w:r>
        <w:t xml:space="preserve">Nielsen version 1, a two-page manuscript whose entire objection is that both groups are central extensions and therefore non-ICC [2].</w:t>
      </w:r>
    </w:p>
    <w:p>
      <w:pPr>
        <w:pStyle w:val="Compact"/>
        <w:numPr>
          <w:ilvl w:val="0"/>
          <w:numId w:val="1002"/>
        </w:numPr>
        <w:jc w:val="left"/>
        <w:keepLines/>
      </w:pPr>
      <w:r>
        <w:t xml:space="preserve">Nielsen version 17, a nineteen-page revision with a source correspondence table, orbit-lemma discussion, and Lean appendices expressly disclosed as produced with Anthropic Claude assistance [3].</w:t>
      </w:r>
    </w:p>
    <w:p>
      <w:pPr>
        <w:pStyle w:val="Compact"/>
        <w:numPr>
          <w:ilvl w:val="0"/>
          <w:numId w:val="1002"/>
        </w:numPr>
        <w:jc w:val="left"/>
        <w:keepLines/>
      </w:pPr>
      <w:r>
        <w:t xml:space="preserve">Nielsen version 47, a forty-two-page manuscript claiming to disprove the OpenAI and Anthropic counterexamples, prove Connes’ conjecture, establish categorical consequences, invert the Cayley-Dickson hierarchy, and confirm the algebraic foundations of quantum field theory [1]. Version 47 remains the frozen full-audit target.</w:t>
      </w:r>
    </w:p>
    <w:p>
      <w:pPr>
        <w:pStyle w:val="Compact"/>
        <w:numPr>
          <w:ilvl w:val="0"/>
          <w:numId w:val="1002"/>
        </w:numPr>
        <w:jc w:val="left"/>
        <w:keepLines/>
      </w:pPr>
      <w:r>
        <w:t xml:space="preserve">Nielsen version 50, the attached forty-six-page post-freeze revision, SHA-256</w:t>
      </w:r>
      <w:r>
        <w:t xml:space="preserve"> </w:t>
      </w:r>
      <w:r>
        <w:rPr>
          <w:rStyle w:val="VerbatimChar"/>
        </w:rPr>
        <w:t xml:space="preserve">c5f1a028b3f3345e4cbd5557246efe3058c615d1e11f3a70a947c65255c2414a</w:t>
      </w:r>
      <w:r>
        <w:t xml:space="preserve">, created 6 August 2026 at 12:28:05 UTC [30]. We performed a targeted audit of its changed sections and repeated load-bearing claims, not a fresh line-by-line reconstruction of every unchanged passage.</w:t>
      </w:r>
    </w:p>
    <w:p>
      <w:pPr>
        <w:pStyle w:val="Compact"/>
        <w:numPr>
          <w:ilvl w:val="0"/>
          <w:numId w:val="1002"/>
        </w:numPr>
        <w:jc w:val="left"/>
        <w:keepLines/>
      </w:pPr>
      <w:r>
        <w:t xml:space="preserve">OpenAI’s 249-page</w:t>
      </w:r>
      <w:r>
        <w:t xml:space="preserve"> </w:t>
      </w:r>
      <w:r>
        <w:rPr>
          <w:i/>
          <w:iCs/>
        </w:rPr>
        <w:t xml:space="preserve">Ten Advances in Mathematics and Theoretical Computer Science</w:t>
      </w:r>
      <w:r>
        <w:t xml:space="preserve"> </w:t>
      </w:r>
      <w:r>
        <w:t xml:space="preserve">and the public monolithic</w:t>
      </w:r>
      <w:r>
        <w:t xml:space="preserve"> </w:t>
      </w:r>
      <w:r>
        <w:rPr>
          <w:rStyle w:val="VerbatimChar"/>
        </w:rPr>
        <w:t xml:space="preserve">ConnesRigidity.lean</w:t>
      </w:r>
      <w:r>
        <w:t xml:space="preserve"> </w:t>
      </w:r>
      <w:r>
        <w:t xml:space="preserve">source [5,6].</w:t>
      </w:r>
    </w:p>
    <w:p>
      <w:pPr>
        <w:pStyle w:val="Compact"/>
        <w:numPr>
          <w:ilvl w:val="0"/>
          <w:numId w:val="1002"/>
        </w:numPr>
        <w:jc w:val="left"/>
        <w:keepLines/>
      </w:pPr>
      <w:r>
        <w:t xml:space="preserve">The unsigned twelve-page preprint</w:t>
      </w:r>
      <w:r>
        <w:t xml:space="preserve"> </w:t>
      </w:r>
      <w:r>
        <w:rPr>
          <w:i/>
          <w:iCs/>
        </w:rPr>
        <w:t xml:space="preserve">Two non-isomorphic ICC property (T) groups with isomorphic group von Neumann algebras</w:t>
      </w:r>
      <w:r>
        <w:t xml:space="preserve">, hosted on Anthropic’s official CDN [7].</w:t>
      </w:r>
    </w:p>
    <w:p>
      <w:pPr>
        <w:pStyle w:val="Compact"/>
        <w:numPr>
          <w:ilvl w:val="0"/>
          <w:numId w:val="1002"/>
        </w:numPr>
        <w:jc w:val="left"/>
        <w:keepLines/>
      </w:pPr>
      <w:r>
        <w:t xml:space="preserve">Ioana’s 2011 JAMS paper, especially Theorem 8.2 and Sections 8-9 [9].</w:t>
      </w:r>
    </w:p>
    <w:p>
      <w:pPr>
        <w:pStyle w:val="Compact"/>
        <w:numPr>
          <w:ilvl w:val="0"/>
          <w:numId w:val="1002"/>
        </w:numPr>
        <w:jc w:val="left"/>
        <w:keepLines/>
      </w:pPr>
      <w:r>
        <w:t xml:space="preserve">A public Fable 5 audit transcript created at Pemberton’s request, which discloses the Anthropic-lineage conflict, corrects its own mistakes, audits primary sources, and releases an exact-arithmetic script [10].</w:t>
      </w:r>
    </w:p>
    <w:p>
      <w:pPr>
        <w:pStyle w:val="Compact"/>
        <w:numPr>
          <w:ilvl w:val="0"/>
          <w:numId w:val="1002"/>
        </w:numPr>
        <w:jc w:val="left"/>
        <w:keepLines/>
      </w:pPr>
      <w:r>
        <w:t xml:space="preserve">A separate public Claude transcript between Nielsen and a Fable instance reviewing a companion physics manuscript, used only to analyze review conduct and prompt dynamics [11].</w:t>
      </w:r>
    </w:p>
    <w:p>
      <w:pPr>
        <w:pStyle w:val="Compact"/>
        <w:numPr>
          <w:ilvl w:val="0"/>
          <w:numId w:val="1002"/>
        </w:numPr>
        <w:jc w:val="left"/>
        <w:keepLines/>
      </w:pPr>
      <w:r>
        <w:t xml:space="preserve">Public X exchanges and Facebook/Meta AI screenshots supplied by Pemberton, preserved uncropped in Supplement S1 with file hashes and contextual notes [22,32].</w:t>
      </w:r>
    </w:p>
    <w:p>
      <w:pPr>
        <w:pStyle w:val="Compact"/>
        <w:numPr>
          <w:ilvl w:val="0"/>
          <w:numId w:val="1002"/>
        </w:numPr>
        <w:jc w:val="left"/>
        <w:keepLines/>
      </w:pPr>
      <w:r>
        <w:t xml:space="preserve">A pinned local reproducibility and source-integrity audit of</w:t>
      </w:r>
      <w:r>
        <w:t xml:space="preserve"> </w:t>
      </w:r>
      <w:r>
        <w:rPr>
          <w:rStyle w:val="VerbatimChar"/>
        </w:rPr>
        <w:t xml:space="preserve">ConnesRigidity.lean</w:t>
      </w:r>
      <w:r>
        <w:t xml:space="preserve">, executed through Claude Code on Windows 11/WSL2 [23].</w:t>
      </w:r>
    </w:p>
    <w:p>
      <w:pPr>
        <w:pStyle w:val="Compact"/>
        <w:numPr>
          <w:ilvl w:val="0"/>
          <w:numId w:val="1002"/>
        </w:numPr>
        <w:jc w:val="left"/>
        <w:keepLines/>
      </w:pPr>
      <w:r>
        <w:t xml:space="preserve">A later Codex review archive containing six completed passes C0-C5, plus a failed Gemini source-access attempt that returned no substantive mathematical review [31].</w:t>
      </w:r>
    </w:p>
    <w:p>
      <w:pPr>
        <w:pStyle w:val="Compact"/>
        <w:numPr>
          <w:ilvl w:val="0"/>
          <w:numId w:val="1002"/>
        </w:numPr>
        <w:jc w:val="left"/>
        <w:keepLines/>
      </w:pPr>
      <w:r>
        <w:t xml:space="preserve">Codex A’s documentary audit of the original Claude Code Lean audit, returned as a 69-member archive with reported SHA-256</w:t>
      </w:r>
      <w:r>
        <w:t xml:space="preserve"> </w:t>
      </w:r>
      <w:r>
        <w:rPr>
          <w:rStyle w:val="VerbatimChar"/>
        </w:rPr>
        <w:t xml:space="preserve">804b69ec110ef52ebab413e265575d05d7ca4a83818ca0bac50e4e0c6a92c581</w:t>
      </w:r>
      <w:r>
        <w:t xml:space="preserve"> </w:t>
      </w:r>
      <w:r>
        <w:t xml:space="preserve">[41].</w:t>
      </w:r>
    </w:p>
    <w:p>
      <w:pPr>
        <w:pStyle w:val="Compact"/>
        <w:numPr>
          <w:ilvl w:val="0"/>
          <w:numId w:val="1002"/>
        </w:numPr>
        <w:jc w:val="left"/>
        <w:keepLines/>
      </w:pPr>
      <w:r>
        <w:t xml:space="preserve">Codex B’s fresh independent Lean audit, returned as a 1,809-file archive with reported SHA-256</w:t>
      </w:r>
      <w:r>
        <w:t xml:space="preserve"> </w:t>
      </w:r>
      <w:r>
        <w:rPr>
          <w:rStyle w:val="VerbatimChar"/>
        </w:rPr>
        <w:t xml:space="preserve">6d874d75820ec0b1924a0ce54d5d14a6f55fd2e79be73688e2ae6db601eb0788</w:t>
      </w:r>
      <w:r>
        <w:t xml:space="preserve"> </w:t>
      </w:r>
      <w:r>
        <w:t xml:space="preserve">[42].</w:t>
      </w:r>
    </w:p>
    <w:p>
      <w:pPr>
        <w:pStyle w:val="Compact"/>
        <w:numPr>
          <w:ilvl w:val="0"/>
          <w:numId w:val="1002"/>
        </w:numPr>
        <w:jc w:val="left"/>
        <w:keepLines/>
      </w:pPr>
      <w:r>
        <w:t xml:space="preserve">Codex B2’s technical-completion run, still in progress at this interim freeze, tasked with persistent fresh exports, direct nanoda replay, mandatory rejection controls, and deterministic recursive archival.</w:t>
      </w:r>
    </w:p>
    <w:p>
      <w:pPr>
        <w:pStyle w:val="FirstParagraph"/>
      </w:pPr>
      <w:r>
        <w:t xml:space="preserve">Two byte-distinct v47 PDFs entered the review record. The copy used in the released v1.1 manuscript has SHA-256</w:t>
      </w:r>
      <w:r>
        <w:t xml:space="preserve"> </w:t>
      </w:r>
      <w:r>
        <w:rPr>
          <w:rStyle w:val="VerbatimChar"/>
        </w:rPr>
        <w:t xml:space="preserve">9db196ae3fbf4f66dd8d33d363f7952fcf9b6b87cfc7ffea390727a9a9d9ca44</w:t>
      </w:r>
      <w:r>
        <w:t xml:space="preserve">; the blind Codex packet used</w:t>
      </w:r>
      <w:r>
        <w:t xml:space="preserve"> </w:t>
      </w:r>
      <w:r>
        <w:rPr>
          <w:rStyle w:val="VerbatimChar"/>
        </w:rPr>
        <w:t xml:space="preserve">0590da499a5b66413427ee333ce56140142a586801ff334b305aeb6d7d57ba14</w:t>
      </w:r>
      <w:r>
        <w:t xml:space="preserve">. Both report the same pdfTeX producer, creation timestamp, and forty-two-page count. Their</w:t>
      </w:r>
      <w:r>
        <w:t xml:space="preserve"> </w:t>
      </w:r>
      <w:r>
        <w:rPr>
          <w:rStyle w:val="VerbatimChar"/>
        </w:rPr>
        <w:t xml:space="preserve">pdftotext -layout</w:t>
      </w:r>
      <w:r>
        <w:t xml:space="preserve"> </w:t>
      </w:r>
      <w:r>
        <w:t xml:space="preserve">outputs are byte-identical, SHA-256</w:t>
      </w:r>
      <w:r>
        <w:t xml:space="preserve"> </w:t>
      </w:r>
      <w:r>
        <w:rPr>
          <w:rStyle w:val="VerbatimChar"/>
        </w:rPr>
        <w:t xml:space="preserve">188b2f1766570a3d31ff33b9e1fc4979e895aa681fb5bb06c2f0ea1a522ff00a</w:t>
      </w:r>
      <w:r>
        <w:t xml:space="preserve">. We preserve both hashes rather than silently choosing one. The controlling page citations in this revision were rechecked against the</w:t>
      </w:r>
      <w:r>
        <w:t xml:space="preserve"> </w:t>
      </w:r>
      <w:r>
        <w:rPr>
          <w:rStyle w:val="VerbatimChar"/>
        </w:rPr>
        <w:t xml:space="preserve">9db196...</w:t>
      </w:r>
      <w:r>
        <w:t xml:space="preserve"> </w:t>
      </w:r>
      <w:r>
        <w:t xml:space="preserve">copy, while the Codex report is accurately described as reviewing the</w:t>
      </w:r>
      <w:r>
        <w:t xml:space="preserve"> </w:t>
      </w:r>
      <w:r>
        <w:rPr>
          <w:rStyle w:val="VerbatimChar"/>
        </w:rPr>
        <w:t xml:space="preserve">0590da...</w:t>
      </w:r>
      <w:r>
        <w:t xml:space="preserve"> </w:t>
      </w:r>
      <w:r>
        <w:t xml:space="preserve">byte object.</w:t>
      </w:r>
    </w:p>
    <w:p>
      <w:pPr>
        <w:pStyle w:val="BodyText"/>
        <w:jc w:val="left"/>
      </w:pPr>
      <w:r>
        <w:t xml:space="preserve">The OpenAI audit was pinned to commit</w:t>
      </w:r>
      <w:r>
        <w:t xml:space="preserve"> </w:t>
      </w:r>
      <w:r>
        <w:rPr>
          <w:rStyle w:val="VerbatimChar"/>
        </w:rPr>
        <w:t xml:space="preserve">94bc0feb6a9ff12c7d31d6de640a725c9d43d2b6</w:t>
      </w:r>
      <w:r>
        <w:t xml:space="preserve">, blob SHA</w:t>
      </w:r>
      <w:r>
        <w:t xml:space="preserve"> </w:t>
      </w:r>
      <w:r>
        <w:rPr>
          <w:rStyle w:val="VerbatimChar"/>
        </w:rPr>
        <w:t xml:space="preserve">81cf03e3f7ccdc66815cc00c9969bcfd2341c8d6</w:t>
      </w:r>
      <w:r>
        <w:t xml:space="preserve">, and raw SHA-256</w:t>
      </w:r>
      <w:r>
        <w:t xml:space="preserve"> </w:t>
      </w:r>
      <w:r>
        <w:rPr>
          <w:rStyle w:val="VerbatimChar"/>
        </w:rPr>
        <w:t xml:space="preserve">31f6c419f341ee6aa5b03bc15800a9d8ee2c654c344aab90bdef0639353ccc91</w:t>
      </w:r>
      <w:r>
        <w:t xml:space="preserve">. The returned audit archive has SHA-256</w:t>
      </w:r>
      <w:r>
        <w:t xml:space="preserve"> </w:t>
      </w:r>
      <w:r>
        <w:rPr>
          <w:rStyle w:val="VerbatimChar"/>
        </w:rPr>
        <w:t xml:space="preserve">6155f5a742e23fa25580a009f155e109aa4a87014e671d2067d73e55e17839bf</w:t>
      </w:r>
      <w:r>
        <w:t xml:space="preserve">. The Codex/Gemini review archive has its own preserved hash. Supplement S1 distributes a sanitized evidentiary extract containing the C0-C5 reports, prompts, blocker record, screenshots, manifests, and the original archive hash, rather than republishing the raw archive wholesale [31].</w:t>
      </w:r>
    </w:p>
    <w:p>
      <w:pPr>
        <w:pStyle w:val="BodyText"/>
      </w:pPr>
      <w:r>
        <w:t xml:space="preserve">This v1.3 checkpoint incorporates the top-level Codex A and Codex B reports supplied by Pemberton together with their external archive hashes. Their large return archives were not yet transferred into this build environment and are therefore not represented as independently re-inspected by Lilitari in this revision. The interim integration memo in Supplement S1 records exactly which claims are report-derived, which were already supported by earlier local receipts, and which await raw-archive ingestion. B2’s result is not anticipated or paraphrased before it exists.</w:t>
      </w:r>
    </w:p>
    <w:p>
      <w:pPr>
        <w:pStyle w:val="BodyText"/>
      </w:pPr>
      <w:r>
        <w:t xml:space="preserve">At the original audit freeze, PhilPapers listed 47 versions between 1 and 4 August 2026, approximately 76 hours. By the later review cutoff, the ledger contained 50 versions, with versions 48-50 uploaded within roughly thirty-one minutes on 6 August and the full v1-to-v50 interval spanning approximately 119 hours and 45 minutes [4,31]. Rapid revision is not evidence that a theorem is false. It is evidence that reviewers must name the exact object inspected and resist treating a moving manuscript as settled.</w:t>
      </w:r>
    </w:p>
    <w:p>
      <w:pPr>
        <w:pStyle w:val="BodyText"/>
      </w:pPr>
      <w:r>
        <w:t xml:space="preserve">PhilArchive is a user-submitted e-print archive, not a referee [12]. Indexing authenticates that a file was deposited. It does not authenticate the theorem.</w:t>
      </w:r>
    </w:p>
    <w:bookmarkEnd w:id="23"/>
    <w:bookmarkStart w:id="24" w:name="review-layers"/>
    <w:p>
      <w:pPr>
        <w:pStyle w:val="Heading3"/>
        <w:jc w:val="left"/>
        <w:keepNext/>
        <w:keepLines/>
      </w:pPr>
      <w:r>
        <w:t xml:space="preserve">2.2 Review layers</w:t>
      </w:r>
    </w:p>
    <w:p>
      <w:pPr>
        <w:pStyle w:val="FirstParagraph"/>
      </w:pPr>
      <w:r>
        <w:t xml:space="preserve">We separate six evidentiary layers that are frequently blurred in AI-assisted scholarship:</w:t>
      </w:r>
    </w:p>
    <w:tbl>
      <w:tblPr>
        <w:tblStyle w:val="Table"/>
        <w:tblW w:type="pct" w:w="5000"/>
        <w:jc w:val="center"/>
        <w:tblLayout w:type="fixed"/>
        <w:tblLook w:firstRow="1" w:lastRow="0" w:firstColumn="0" w:lastColumn="0" w:noHBand="0" w:noVBand="0" w:val="0020"/>
      </w:tblPr>
      <w:tblGrid>
        <w:gridCol w:w="2640"/>
        <w:gridCol w:w="2640"/>
        <w:gridCol w:w="2640"/>
      </w:tblGrid>
      <w:tr>
        <w:trPr>
          <w:tblHeader w:val="on"/>
          <w:cantSplit/>
        </w:trPr>
        <w:tc>
          <w:tcPr>
            <w:tcW w:w="1944"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Layer</w:t>
            </w:r>
          </w:p>
        </w:tc>
        <w:tc>
          <w:tcPr>
            <w:tcW w:w="3671"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Question answered</w:t>
            </w:r>
          </w:p>
        </w:tc>
        <w:tc>
          <w:tcPr>
            <w:tcW w:w="4031"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What it does not establish</w:t>
            </w:r>
          </w:p>
        </w:tc>
      </w:tr>
      <w:tr>
        <w:trPr>
          <w:cantSplit/>
        </w:trPr>
        <w:tc>
          <w:tcPr>
            <w:tcW w:w="194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Textual regeneration</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Does a model reproduce the printed formulas or prose?</w:t>
            </w:r>
          </w:p>
        </w:tc>
        <w:tc>
          <w:tcPr>
            <w:tcW w:w="403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That the formulas are derived, relevant, or true</w:t>
            </w:r>
          </w:p>
        </w:tc>
      </w:tr>
      <w:tr>
        <w:trPr>
          <w:cantSplit/>
        </w:trPr>
        <w:tc>
          <w:tcPr>
            <w:tcW w:w="194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Numerical regression</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Do outputs match for tested inputs?</w:t>
            </w:r>
          </w:p>
        </w:tc>
        <w:tc>
          <w:tcPr>
            <w:tcW w:w="403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A universal proof, semantic adequacy, or physical meaning</w:t>
            </w:r>
          </w:p>
        </w:tc>
      </w:tr>
      <w:tr>
        <w:trPr>
          <w:cantSplit/>
        </w:trPr>
        <w:tc>
          <w:tcPr>
            <w:tcW w:w="194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Formal verification</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Does a proof term inhabit the encoded type?</w:t>
            </w:r>
          </w:p>
        </w:tc>
        <w:tc>
          <w:tcPr>
            <w:tcW w:w="403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That the type captures the intended theorem</w:t>
            </w:r>
          </w:p>
        </w:tc>
      </w:tr>
      <w:tr>
        <w:trPr>
          <w:cantSplit/>
        </w:trPr>
        <w:tc>
          <w:tcPr>
            <w:tcW w:w="194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Reproducibility and kernel audit</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Does the pinned target compile, what axioms does it reach, and do additional checkers accept the exported proof terms?</w:t>
            </w:r>
          </w:p>
        </w:tc>
        <w:tc>
          <w:tcPr>
            <w:tcW w:w="403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Semantic fidelity of the statement or peer review</w:t>
            </w:r>
          </w:p>
        </w:tc>
      </w:tr>
      <w:tr>
        <w:trPr>
          <w:cantSplit/>
        </w:trPr>
        <w:tc>
          <w:tcPr>
            <w:tcW w:w="194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Source-level audit</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Do the definitions and cited hypotheses match the argument?</w:t>
            </w:r>
          </w:p>
        </w:tc>
        <w:tc>
          <w:tcPr>
            <w:tcW w:w="403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Community acceptance or completeness of specialist review</w:t>
            </w:r>
          </w:p>
        </w:tc>
      </w:tr>
      <w:tr>
        <w:trPr>
          <w:cantSplit/>
        </w:trPr>
        <w:tc>
          <w:tcPr>
            <w:tcW w:w="194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Peer review and replication</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Do qualified independent reviewers accept the argument after adversarial scrutiny?</w:t>
            </w:r>
          </w:p>
        </w:tc>
        <w:tc>
          <w:tcPr>
            <w:tcW w:w="403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Infallibility</w:t>
            </w:r>
          </w:p>
        </w:tc>
      </w:tr>
    </w:tbl>
    <w:p>
      <w:pPr>
        <w:pStyle w:val="BodyText"/>
      </w:pPr>
      <w:r>
        <w:t xml:space="preserve">The exact-arithmetic script in Supplement S1 belongs to the second layer. The OpenAI Lean development belongs to the third. The local build audit straddles the third and fourth. Our analysis of group definitions and Ioana’s theorem belongs primarily to the fifth. The Codex review is a structured model audit, not peer review. None of these layers may be promoted merely because their conclusions agree.</w:t>
      </w:r>
    </w:p>
    <w:bookmarkEnd w:id="24"/>
    <w:bookmarkStart w:id="28" w:name="correction-policy"/>
    <w:p>
      <w:pPr>
        <w:pStyle w:val="Heading3"/>
        <w:jc w:val="left"/>
        <w:keepNext/>
        <w:keepLines/>
      </w:pPr>
      <w:r>
        <w:t xml:space="preserve">2.3 Correction policy</w:t>
      </w:r>
    </w:p>
    <w:p>
      <w:pPr>
        <w:pStyle w:val="FirstParagraph"/>
      </w:pPr>
      <w:r>
        <w:t xml:space="preserve">This audit keeps a correction ledger. Lilitari initially treated the mixed target itself as the defect in Nielsen’s use of Ioana. Reading the full Theorem 8.2 showed that mixed targets are permitted; the critique was corrected to the full-image containment objection and the torsion branch. Red initially could not locate the Anthropic-hosted preprint; when the source was supplied, that provenance claim was withdrawn. In the separate physics-review transcript, Fable misread one equation’s grouping, read the LaTeX, and retracted that objection while retaining two independently recomputed provenance gaps [10,11].</w:t>
      </w:r>
    </w:p>
    <w:p>
      <w:pPr>
        <w:pStyle w:val="BodyText"/>
      </w:pPr>
      <w:r>
        <w:t xml:space="preserve">The first Claude Code Lean audit preserved failed commands and returned</w:t>
      </w:r>
      <w:r>
        <w:t xml:space="preserve"> </w:t>
      </w:r>
      <w:r>
        <w:rPr>
          <w:rStyle w:val="VerbatimChar"/>
        </w:rPr>
        <w:t xml:space="preserve">PARTIAL</w:t>
      </w:r>
      <w:r>
        <w:t xml:space="preserve"> </w:t>
      </w:r>
      <w:r>
        <w:t xml:space="preserve">because the real</w:t>
      </w:r>
      <w:r>
        <w:t xml:space="preserve"> </w:t>
      </w:r>
      <w:r>
        <w:rPr>
          <w:rStyle w:val="VerbatimChar"/>
        </w:rPr>
        <w:t xml:space="preserve">landrun</w:t>
      </w:r>
      <w:r>
        <w:t xml:space="preserve"> </w:t>
      </w:r>
      <w:r>
        <w:t xml:space="preserve">path failed. Before reviewer selection, we also found that our nominally blind packet mixed primary sources with model-written conclusions. We withdrew it before use and replaced it with firewalled packets. The C0-C5 Codex review later found two material errors in our release candidate: a v47 digest inconsistency and a false allegation that the Anthropic-hosted PDF omitted a conjugation bar. Both were corrected rather than defended [31].</w:t>
      </w:r>
    </w:p>
    <w:p>
      <w:pPr>
        <w:pStyle w:val="BodyText"/>
      </w:pPr>
      <w:r>
        <w:t xml:space="preserve">Codex A then audited the first audit rather than simply rerunning it. It upheld the source identity, targeted build, theorem names, native axiom outputs, and challenge-versus-solution</w:t>
      </w:r>
      <w:r>
        <w:t xml:space="preserve"> </w:t>
      </w:r>
      <w:r>
        <w:rPr>
          <w:rStyle w:val="VerbatimChar"/>
        </w:rPr>
        <w:t xml:space="preserve">sorry</w:t>
      </w:r>
      <w:r>
        <w:t xml:space="preserve"> </w:t>
      </w:r>
      <w:r>
        <w:t xml:space="preserve">distinction. It also found that our language outran the receipts in several places. The evidence supports behavior consistent with a separator or argument-forwarding incompatibility in the real</w:t>
      </w:r>
      <w:r>
        <w:t xml:space="preserve"> </w:t>
      </w:r>
      <w:r>
        <w:rPr>
          <w:rStyle w:val="VerbatimChar"/>
        </w:rPr>
        <w:t xml:space="preserve">landrun</w:t>
      </w:r>
      <w:r>
        <w:t xml:space="preserve"> </w:t>
      </w:r>
      <w:r>
        <w:t xml:space="preserve">path, not a captured proof that</w:t>
      </w:r>
      <w:r>
        <w:t xml:space="preserve"> </w:t>
      </w:r>
      <w:r>
        <w:rPr>
          <w:rStyle w:val="VerbatimChar"/>
        </w:rPr>
        <w:t xml:space="preserve">landrun</w:t>
      </w:r>
      <w:r>
        <w:t xml:space="preserve"> </w:t>
      </w:r>
      <w:r>
        <w:t xml:space="preserve">literally stripped</w:t>
      </w:r>
      <w:r>
        <w:t xml:space="preserve"> </w:t>
      </w:r>
      <w:r>
        <w:rPr>
          <w:rStyle w:val="VerbatimChar"/>
        </w:rPr>
        <w:t xml:space="preserve">--</w:t>
      </w:r>
      <w:r>
        <w:t xml:space="preserve">. Comparator and nanoda were additional checks over one unsandboxed export pipeline, not fully independent end-to-end measurements. The first report also conflated 8,639 downloaded cache files with 8,275 observed Mathlib</w:t>
      </w:r>
      <w:r>
        <w:t xml:space="preserve"> </w:t>
      </w:r>
      <w:r>
        <w:rPr>
          <w:rStyle w:val="VerbatimChar"/>
        </w:rPr>
        <w:t xml:space="preserve">.olean</w:t>
      </w:r>
      <w:r>
        <w:t xml:space="preserve"> </w:t>
      </w:r>
      <w:r>
        <w:t xml:space="preserve">files, described four un-compared arithmetic rows when five were printed, omitted the fake-shim override from its reproduction commands, and said</w:t>
      </w:r>
      <w:r>
        <w:t xml:space="preserve"> </w:t>
      </w:r>
      <w:r>
        <w:t xml:space="preserve">“</w:t>
      </w:r>
      <w:r>
        <w:t xml:space="preserve">no repository writes</w:t>
      </w:r>
      <w:r>
        <w:t xml:space="preserve">”</w:t>
      </w:r>
      <w:r>
        <w:t xml:space="preserve"> </w:t>
      </w:r>
      <w:r>
        <w:t xml:space="preserve">when ignored build artifacts and Git metadata had in fact changed. No tracked mathematical source changed [41].</w:t>
      </w:r>
    </w:p>
    <w:p>
      <w:pPr>
        <w:pStyle w:val="BodyText"/>
      </w:pPr>
      <w:r>
        <w:t xml:space="preserve">Codex B corrected the audit picture again. It reproduced the pinned source and ordinary build, greatly expanded the native axiom inspection, and completed the Comparator/nanoda path inside a genuine non-root sandbox by pinning an earlier official</w:t>
      </w:r>
      <w:r>
        <w:t xml:space="preserve"> </w:t>
      </w:r>
      <w:r>
        <w:rPr>
          <w:rStyle w:val="VerbatimChar"/>
        </w:rPr>
        <w:t xml:space="preserve">landrun</w:t>
      </w:r>
      <w:r>
        <w:t xml:space="preserve"> </w:t>
      </w:r>
      <w:r>
        <w:t xml:space="preserve">commit whose command-line interface preserved Comparator’s nested</w:t>
      </w:r>
      <w:r>
        <w:t xml:space="preserve"> </w:t>
      </w:r>
      <w:r>
        <w:rPr>
          <w:rStyle w:val="VerbatimChar"/>
        </w:rPr>
        <w:t xml:space="preserve">--</w:t>
      </w:r>
      <w:r>
        <w:t xml:space="preserve">. Yet it still returned</w:t>
      </w:r>
      <w:r>
        <w:t xml:space="preserve"> </w:t>
      </w:r>
      <w:r>
        <w:rPr>
          <w:rStyle w:val="VerbatimChar"/>
        </w:rPr>
        <w:t xml:space="preserve">PARTIAL</w:t>
      </w:r>
      <w:r>
        <w:t xml:space="preserve"> </w:t>
      </w:r>
      <w:r>
        <w:t xml:space="preserve">because its frozen stop rules prevented mandatory negative controls and complete persistent archival after an ambiguous host</w:t>
      </w:r>
      <w:r>
        <w:t xml:space="preserve"> </w:t>
      </w:r>
      <w:r>
        <w:rPr>
          <w:rStyle w:val="VerbatimChar"/>
        </w:rPr>
        <w:t xml:space="preserve">bash.exe</w:t>
      </w:r>
      <w:r>
        <w:t xml:space="preserve"> </w:t>
      </w:r>
      <w:r>
        <w:t xml:space="preserve">resolution. We therefore do not promote the result to</w:t>
      </w:r>
      <w:r>
        <w:t xml:space="preserve"> </w:t>
      </w:r>
      <w:r>
        <w:rPr>
          <w:rStyle w:val="VerbatimChar"/>
        </w:rPr>
        <w:t xml:space="preserve">PASS</w:t>
      </w:r>
      <w:r>
        <w:t xml:space="preserve"> </w:t>
      </w:r>
      <w:r>
        <w:t xml:space="preserve">before B2 finishes the missing work [42].</w:t>
      </w:r>
    </w:p>
    <w:p>
      <w:pPr>
        <w:pStyle w:val="BodyText"/>
      </w:pPr>
      <w:r>
        <w:t xml:space="preserve">These corrections are not decorative humility. They show that the review can lose locally, alter its trust claims, and preserve inconvenient process failures without surrendering or protecting the mathematical conclusion by fiat.</w:t>
      </w:r>
    </w:p>
    <w:p>
      <w:pPr>
        <w:pStyle w:val="CaptionedFigure"/>
      </w:pPr>
      <w:r>
        <w:drawing>
          <wp:inline>
            <wp:extent cx="5067300" cy="2660332"/>
            <wp:effectExtent b="0" l="0" r="0" t="0"/>
            <wp:docPr descr="Correction ledger showing how errors by Lilitari, Red, the Fable review transcript, Claude Code, Codex C0-C5, Codex A, and Codex B were preserved and corrected." title="Correction ledger" id="26" name="Picture"/>
            <a:graphic>
              <a:graphicData uri="http://schemas.openxmlformats.org/drawingml/2006/picture">
                <pic:pic>
                  <pic:nvPicPr>
                    <pic:cNvPr descr="figures/figure7_correction_ledger.png" id="27" name="Picture"/>
                    <pic:cNvPicPr>
                      <a:picLocks noChangeArrowheads="1" noChangeAspect="1"/>
                    </pic:cNvPicPr>
                  </pic:nvPicPr>
                  <pic:blipFill>
                    <a:blip r:embed="rId25"/>
                    <a:stretch>
                      <a:fillRect/>
                    </a:stretch>
                  </pic:blipFill>
                  <pic:spPr bwMode="auto">
                    <a:xfrm>
                      <a:off x="0" y="0"/>
                      <a:ext cx="5067300" cy="2660332"/>
                    </a:xfrm>
                    <a:prstGeom prst="rect">
                      <a:avLst/>
                    </a:prstGeom>
                    <a:noFill/>
                    <a:ln w="9525">
                      <a:noFill/>
                      <a:headEnd/>
                      <a:tailEnd/>
                    </a:ln>
                  </pic:spPr>
                </pic:pic>
              </a:graphicData>
            </a:graphic>
          </wp:inline>
        </w:drawing>
      </w:r>
    </w:p>
    <w:p>
      <w:pPr>
        <w:pStyle w:val="ImageCaption"/>
      </w:pPr>
      <w:r>
        <w:t xml:space="preserve">Correction ledger. The review record includes errors corrected by Lilitari, Red, the Fable transcript, Claude’s original audit, Codex A, and Codex B.</w:t>
      </w:r>
    </w:p>
    <w:bookmarkEnd w:id="28"/>
    <w:bookmarkStart w:id="29" w:name="Xeac3d04128d78356fd7c79f88e347cd92ed3d9e"/>
    <w:p>
      <w:pPr>
        <w:pStyle w:val="Heading3"/>
        <w:jc w:val="left"/>
        <w:keepNext/>
        <w:keepLines/>
      </w:pPr>
      <w:r>
        <w:t xml:space="preserve">2.4 Claude Code audit and Codex A documentary audit</w:t>
      </w:r>
    </w:p>
    <w:p>
      <w:pPr>
        <w:pStyle w:val="FirstParagraph"/>
        <w:jc w:val="left"/>
      </w:pPr>
      <w:r>
        <w:t xml:space="preserve">Claude Code’s original audit established a strong but bounded result. It pinned the OpenAI repository at commit</w:t>
      </w:r>
      <w:r>
        <w:t xml:space="preserve"> </w:t>
      </w:r>
      <w:r>
        <w:rPr>
          <w:rStyle w:val="VerbatimChar"/>
        </w:rPr>
        <w:t xml:space="preserve">94bc0feb6a9ff12c7d31d6de640a725c9d43d2b6</w:t>
      </w:r>
      <w:r>
        <w:t xml:space="preserve">, matched the 37,374-line source and expected hashes, completed</w:t>
      </w:r>
      <w:r>
        <w:t xml:space="preserve"> </w:t>
      </w:r>
      <w:r>
        <w:rPr>
          <w:rStyle w:val="VerbatimChar"/>
        </w:rPr>
        <w:t xml:space="preserve">lake build ConnesRigidity</w:t>
      </w:r>
      <w:r>
        <w:t xml:space="preserve">, and obtained native</w:t>
      </w:r>
      <w:r>
        <w:t xml:space="preserve"> </w:t>
      </w:r>
      <w:r>
        <w:rPr>
          <w:rStyle w:val="VerbatimChar"/>
        </w:rPr>
        <w:t xml:space="preserve">#print axioms</w:t>
      </w:r>
      <w:r>
        <w:t xml:space="preserve"> </w:t>
      </w:r>
      <w:r>
        <w:t xml:space="preserve">outputs containing only:</w:t>
      </w:r>
    </w:p>
    <w:p>
      <w:pPr>
        <w:pStyle w:val="SourceCode"/>
        <w:spacing w:line="240" w:lineRule="auto" w:before="60" w:after="80"/>
        <w:ind w:right="144"/>
        <w:jc w:val="left"/>
        <w:shd w:fill="F3F1F6"/>
        <w:pBdr>
          <w:left w:val="single" w:sz="14" w:space="7" w:color="563778"/>
        </w:pBdr>
        <w:keepLines/>
      </w:pPr>
      <w:r>
        <w:rPr>
          <w:rStyle w:val="VerbatimChar"/>
          <w:rFonts w:ascii="Liberation Mono" w:hAnsi="Liberation Mono" w:eastAsia="Liberation Mono"/>
          <w:sz w:val="15"/>
        </w:rPr>
        <w:t xml:space="preserve">[propext, Classical.choice, Quot.sound]</w:t>
      </w:r>
    </w:p>
    <w:p>
      <w:pPr>
        <w:pStyle w:val="FirstParagraph"/>
      </w:pPr>
      <w:r>
        <w:t xml:space="preserve">for both final theorems and eleven supporting declarations. It also ran Comparator and nanoda successfully after replacing the failing real</w:t>
      </w:r>
      <w:r>
        <w:t xml:space="preserve"> </w:t>
      </w:r>
      <w:r>
        <w:rPr>
          <w:rStyle w:val="VerbatimChar"/>
        </w:rPr>
        <w:t xml:space="preserve">landrun</w:t>
      </w:r>
      <w:r>
        <w:t xml:space="preserve"> </w:t>
      </w:r>
      <w:r>
        <w:t xml:space="preserve">invocation with an explicitly fake, unsandboxed shim [23]. The correct original status was</w:t>
      </w:r>
      <w:r>
        <w:t xml:space="preserve"> </w:t>
      </w:r>
      <w:r>
        <w:rPr>
          <w:rStyle w:val="VerbatimChar"/>
        </w:rPr>
        <w:t xml:space="preserve">PARTIAL</w:t>
      </w:r>
      <w:r>
        <w:t xml:space="preserve">, but the phrase</w:t>
      </w:r>
      <w:r>
        <w:t xml:space="preserve"> </w:t>
      </w:r>
      <w:r>
        <w:t xml:space="preserve">“</w:t>
      </w:r>
      <w:r>
        <w:t xml:space="preserve">partiality is confined to path (b)’s sandboxing</w:t>
      </w:r>
      <w:r>
        <w:t xml:space="preserve">”</w:t>
      </w:r>
      <w:r>
        <w:t xml:space="preserve"> </w:t>
      </w:r>
      <w:r>
        <w:t xml:space="preserve">was too narrow because the unsandboxed path also weakened the adversarial provenance of statement matching, whitelist enforcement, export generation, and nanoda’s inputs [23,24].</w:t>
      </w:r>
    </w:p>
    <w:p>
      <w:pPr>
        <w:pStyle w:val="BodyText"/>
      </w:pPr>
      <w:r>
        <w:t xml:space="preserve">Codex A reconstructed the audit from the archive’s raw receipts before reading Claude’s final prose. It then audited fifty-six claims and the seven closing claims. Its concise dispositions were:</w:t>
      </w:r>
    </w:p>
    <w:tbl>
      <w:tblPr>
        <w:tblStyle w:val="Table"/>
        <w:tblW w:type="pct" w:w="5000"/>
        <w:jc w:val="center"/>
        <w:tblLayout w:type="fixed"/>
        <w:tblLook w:firstRow="1" w:lastRow="0" w:firstColumn="0" w:lastColumn="0" w:noHBand="0" w:noVBand="0" w:val="0020"/>
      </w:tblPr>
      <w:tblGrid>
        <w:gridCol w:w="2640"/>
        <w:gridCol w:w="2640"/>
        <w:gridCol w:w="2640"/>
      </w:tblGrid>
      <w:tr>
        <w:trPr>
          <w:tblHeader w:val="on"/>
          <w:cantSplit/>
        </w:trPr>
        <w:tc>
          <w:tcPr>
            <w:tcW w:w="1728"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Claim family</w:t>
            </w:r>
          </w:p>
        </w:tc>
        <w:tc>
          <w:tcPr>
            <w:tcW w:w="324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Codex A disposition</w:t>
            </w:r>
          </w:p>
        </w:tc>
        <w:tc>
          <w:tcPr>
            <w:tcW w:w="468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Controlling qualification</w:t>
            </w:r>
          </w:p>
        </w:tc>
      </w:tr>
      <w:tr>
        <w:trPr>
          <w:cantSplit/>
        </w:trPr>
        <w:tc>
          <w:tcPr>
            <w:tcW w:w="17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Audited commit and source identity</w:t>
            </w:r>
          </w:p>
        </w:tc>
        <w:tc>
          <w:tcPr>
            <w:tcW w:w="324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Supported</w:t>
            </w:r>
          </w:p>
        </w:tc>
        <w:tc>
          <w:tcPr>
            <w:tcW w:w="468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Exact commit, blob, SHA-256, lines, bytes, and CR count matched</w:t>
            </w:r>
          </w:p>
        </w:tc>
      </w:tr>
      <w:tr>
        <w:trPr>
          <w:cantSplit/>
        </w:trPr>
        <w:tc>
          <w:tcPr>
            <w:tcW w:w="172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Targeted Lean build</w:t>
            </w:r>
          </w:p>
        </w:tc>
        <w:tc>
          <w:tcPr>
            <w:tcW w:w="324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Supported with caveat</w:t>
            </w:r>
          </w:p>
        </w:tc>
        <w:tc>
          <w:tcPr>
            <w:tcW w:w="468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Exit, timing, memory, swaps, and captured warning scope supported</w:t>
            </w:r>
          </w:p>
        </w:tc>
      </w:tr>
      <w:tr>
        <w:trPr>
          <w:cantSplit/>
        </w:trPr>
        <w:tc>
          <w:tcPr>
            <w:tcW w:w="17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Native root/supporting axiom outputs</w:t>
            </w:r>
          </w:p>
        </w:tc>
        <w:tc>
          <w:tcPr>
            <w:tcW w:w="324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Supported</w:t>
            </w:r>
          </w:p>
        </w:tc>
        <w:tc>
          <w:tcPr>
            <w:tcW w:w="468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Thirteen inspected dependency closures reached only the three standard axioms</w:t>
            </w:r>
          </w:p>
        </w:tc>
      </w:tr>
      <w:tr>
        <w:trPr>
          <w:cantSplit/>
        </w:trPr>
        <w:tc>
          <w:tcPr>
            <w:tcW w:w="172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Comparator whitelist and statement matching</w:t>
            </w:r>
          </w:p>
        </w:tc>
        <w:tc>
          <w:tcPr>
            <w:tcW w:w="324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Partly supported</w:t>
            </w:r>
          </w:p>
        </w:tc>
        <w:tc>
          <w:tcPr>
            <w:tcW w:w="468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Passing path was unsandboxed and lacked complete child-argv/export provenance</w:t>
            </w:r>
          </w:p>
        </w:tc>
      </w:tr>
      <w:tr>
        <w:trPr>
          <w:cantSplit/>
        </w:trPr>
        <w:tc>
          <w:tcPr>
            <w:tcW w:w="17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Nanoda acceptance</w:t>
            </w:r>
          </w:p>
        </w:tc>
        <w:tc>
          <w:tcPr>
            <w:tcW w:w="324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Partly supported</w:t>
            </w:r>
          </w:p>
        </w:tc>
        <w:tc>
          <w:tcPr>
            <w:tcW w:w="468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Accepted the exported proof representation but did not independently enforce the whitelist</w:t>
            </w:r>
          </w:p>
        </w:tc>
      </w:tr>
      <w:tr>
        <w:trPr>
          <w:cantSplit/>
        </w:trPr>
        <w:tc>
          <w:tcPr>
            <w:tcW w:w="172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Exact</w:t>
            </w:r>
            <w:r>
              <w:rPr>
                <w:rFonts w:ascii="Liberation Sans" w:hAnsi="Liberation Sans" w:eastAsia="Liberation Sans"/>
                <w:sz w:val="15"/>
              </w:rPr>
              <w:t xml:space="preserve"> </w:t>
            </w:r>
            <w:r>
              <w:rPr>
                <w:rStyle w:val="VerbatimChar"/>
                <w:rFonts w:ascii="Liberation Sans" w:hAnsi="Liberation Sans" w:eastAsia="Liberation Sans"/>
                <w:sz w:val="15"/>
              </w:rPr>
              <w:t xml:space="preserve">landrun</w:t>
            </w:r>
            <w:r>
              <w:rPr>
                <w:rFonts w:ascii="Liberation Sans" w:hAnsi="Liberation Sans" w:eastAsia="Liberation Sans"/>
                <w:sz w:val="15"/>
              </w:rPr>
              <w:t xml:space="preserve"> </w:t>
            </w:r>
            <w:r>
              <w:rPr>
                <w:rFonts w:ascii="Liberation Sans" w:hAnsi="Liberation Sans" w:eastAsia="Liberation Sans"/>
                <w:sz w:val="15"/>
              </w:rPr>
              <w:t xml:space="preserve">failure mechanism</w:t>
            </w:r>
          </w:p>
        </w:tc>
        <w:tc>
          <w:tcPr>
            <w:tcW w:w="324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Not proved at causal precision claimed</w:t>
            </w:r>
          </w:p>
        </w:tc>
        <w:tc>
          <w:tcPr>
            <w:tcW w:w="468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Recorded behavior is consistent with separator/argv incompatibility; exact transformation unresolved</w:t>
            </w:r>
          </w:p>
        </w:tc>
      </w:tr>
      <w:tr>
        <w:trPr>
          <w:cantSplit/>
        </w:trPr>
        <w:tc>
          <w:tcPr>
            <w:tcW w:w="17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Final</w:t>
            </w:r>
            <w:r>
              <w:rPr>
                <w:rFonts w:ascii="Liberation Sans" w:hAnsi="Liberation Sans" w:eastAsia="Liberation Sans"/>
                <w:sz w:val="15"/>
              </w:rPr>
              <w:t xml:space="preserve"> </w:t>
            </w:r>
            <w:r>
              <w:rPr>
                <w:rStyle w:val="VerbatimChar"/>
                <w:rFonts w:ascii="Liberation Sans" w:hAnsi="Liberation Sans" w:eastAsia="Liberation Sans"/>
                <w:sz w:val="15"/>
              </w:rPr>
              <w:t xml:space="preserve">PARTIAL</w:t>
            </w:r>
            <w:r>
              <w:rPr>
                <w:rFonts w:ascii="Liberation Sans" w:hAnsi="Liberation Sans" w:eastAsia="Liberation Sans"/>
                <w:sz w:val="15"/>
              </w:rPr>
              <w:t xml:space="preserve"> </w:t>
            </w:r>
            <w:r>
              <w:rPr>
                <w:rFonts w:ascii="Liberation Sans" w:hAnsi="Liberation Sans" w:eastAsia="Liberation Sans"/>
                <w:sz w:val="15"/>
              </w:rPr>
              <w:t xml:space="preserve">label</w:t>
            </w:r>
          </w:p>
        </w:tc>
        <w:tc>
          <w:tcPr>
            <w:tcW w:w="324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Supported with caveat</w:t>
            </w:r>
          </w:p>
        </w:tc>
        <w:tc>
          <w:tcPr>
            <w:tcW w:w="468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Correct status, but the trust loss extends beyond a decorative sandbox checkbox</w:t>
            </w:r>
          </w:p>
        </w:tc>
      </w:tr>
    </w:tbl>
    <w:p>
      <w:pPr>
        <w:pStyle w:val="BodyText"/>
      </w:pPr>
      <w:r>
        <w:t xml:space="preserve">Codex A’s strongest safe wording is therefore: in the recorded real-</w:t>
      </w:r>
      <w:r>
        <w:rPr>
          <w:rStyle w:val="VerbatimChar"/>
        </w:rPr>
        <w:t xml:space="preserve">landrun</w:t>
      </w:r>
      <w:r>
        <w:t xml:space="preserve"> </w:t>
      </w:r>
      <w:r>
        <w:t xml:space="preserve">path,</w:t>
      </w:r>
      <w:r>
        <w:t xml:space="preserve"> </w:t>
      </w:r>
      <w:r>
        <w:rPr>
          <w:rStyle w:val="VerbatimChar"/>
        </w:rPr>
        <w:t xml:space="preserve">lean4export</w:t>
      </w:r>
      <w:r>
        <w:t xml:space="preserve"> </w:t>
      </w:r>
      <w:r>
        <w:t xml:space="preserve">treated</w:t>
      </w:r>
      <w:r>
        <w:t xml:space="preserve"> </w:t>
      </w:r>
      <w:r>
        <w:rPr>
          <w:rStyle w:val="VerbatimChar"/>
        </w:rPr>
        <w:t xml:space="preserve">Nat</w:t>
      </w:r>
      <w:r>
        <w:t xml:space="preserve"> </w:t>
      </w:r>
      <w:r>
        <w:t xml:space="preserve">as a module import and the path exited 1; in the fake-shim path, the visible child command retained</w:t>
      </w:r>
      <w:r>
        <w:t xml:space="preserve"> </w:t>
      </w:r>
      <w:r>
        <w:rPr>
          <w:rStyle w:val="VerbatimChar"/>
        </w:rPr>
        <w:t xml:space="preserve">--</w:t>
      </w:r>
      <w:r>
        <w:t xml:space="preserve"> </w:t>
      </w:r>
      <w:r>
        <w:t xml:space="preserve">before</w:t>
      </w:r>
      <w:r>
        <w:t xml:space="preserve"> </w:t>
      </w:r>
      <w:r>
        <w:rPr>
          <w:rStyle w:val="VerbatimChar"/>
        </w:rPr>
        <w:t xml:space="preserve">Nat</w:t>
      </w:r>
      <w:r>
        <w:t xml:space="preserve"> </w:t>
      </w:r>
      <w:r>
        <w:t xml:space="preserve">and exited 0. That supports a separator or forwarding incompatibility. It does not prove which process consumed the separator or that every user would reproduce the defect [41].</w:t>
      </w:r>
    </w:p>
    <w:p>
      <w:pPr>
        <w:pStyle w:val="BodyText"/>
      </w:pPr>
      <w:r>
        <w:t xml:space="preserve">The original audit’s host-level preservation detour also produced Git-index and WSL-export metadata deviations. Those are retained in the private forensic record, but they do not bear on theorem validity and are not elevated into the mathematical argument. Further virtual-disk forensics were deliberately stopped as disproportionate.</w:t>
      </w:r>
    </w:p>
    <w:bookmarkEnd w:id="29"/>
    <w:bookmarkStart w:id="30" w:name="X614fb109e53aaa354472c8d8f46837698cb4aa3"/>
    <w:p>
      <w:pPr>
        <w:pStyle w:val="Heading3"/>
        <w:jc w:val="left"/>
        <w:keepNext/>
        <w:keepLines/>
      </w:pPr>
      <w:r>
        <w:t xml:space="preserve">2.5 Codex B fresh Lean audit: technically successful, procedurally incomplete</w:t>
      </w:r>
    </w:p>
    <w:p>
      <w:pPr>
        <w:pStyle w:val="FirstParagraph"/>
      </w:pPr>
      <w:r>
        <w:t xml:space="preserve">Codex B began again in a fresh environment without seeing Claude’s audit, Codex A, this manuscript, or prior model verdicts. It matched the same OpenAI commit, tree, source blob, SHA-256, byte count, line count, and CR count. Its narrow ordinary build succeeded:</w:t>
      </w:r>
    </w:p>
    <w:p>
      <w:pPr>
        <w:pStyle w:val="Compact"/>
        <w:numPr>
          <w:ilvl w:val="0"/>
          <w:numId w:val="1003"/>
        </w:numPr>
        <w:jc w:val="left"/>
        <w:keepLines/>
      </w:pPr>
      <w:r>
        <w:t xml:space="preserve">repository cache acquisition exited 0;</w:t>
      </w:r>
    </w:p>
    <w:p>
      <w:pPr>
        <w:pStyle w:val="Compact"/>
        <w:numPr>
          <w:ilvl w:val="0"/>
          <w:numId w:val="1003"/>
        </w:numPr>
        <w:jc w:val="left"/>
        <w:keepLines/>
      </w:pPr>
      <w:r>
        <w:rPr>
          <w:rStyle w:val="VerbatimChar"/>
        </w:rPr>
        <w:t xml:space="preserve">lake build ConnesRigidity</w:t>
      </w:r>
      <w:r>
        <w:t xml:space="preserve"> </w:t>
      </w:r>
      <w:r>
        <w:t xml:space="preserve">exited 0;</w:t>
      </w:r>
    </w:p>
    <w:p>
      <w:pPr>
        <w:pStyle w:val="Compact"/>
        <w:numPr>
          <w:ilvl w:val="0"/>
          <w:numId w:val="1003"/>
        </w:numPr>
        <w:jc w:val="left"/>
        <w:keepLines/>
      </w:pPr>
      <w:r>
        <w:t xml:space="preserve">elapsed time was 29:41;</w:t>
      </w:r>
    </w:p>
    <w:p>
      <w:pPr>
        <w:pStyle w:val="Compact"/>
        <w:numPr>
          <w:ilvl w:val="0"/>
          <w:numId w:val="1003"/>
        </w:numPr>
        <w:jc w:val="left"/>
        <w:keepLines/>
      </w:pPr>
      <w:r>
        <w:t xml:space="preserve">peak resident memory was 10,855 MiB;</w:t>
      </w:r>
    </w:p>
    <w:p>
      <w:pPr>
        <w:pStyle w:val="Compact"/>
        <w:numPr>
          <w:ilvl w:val="0"/>
          <w:numId w:val="1003"/>
        </w:numPr>
        <w:jc w:val="left"/>
        <w:keepLines/>
      </w:pPr>
      <w:r>
        <w:t xml:space="preserve">swaps, warnings, and recorded build-time network operations were zero;</w:t>
      </w:r>
    </w:p>
    <w:p>
      <w:pPr>
        <w:pStyle w:val="Compact"/>
        <w:numPr>
          <w:ilvl w:val="0"/>
          <w:numId w:val="1003"/>
        </w:numPr>
        <w:jc w:val="left"/>
        <w:keepLines/>
      </w:pPr>
      <w:r>
        <w:t xml:space="preserve">the generated</w:t>
      </w:r>
      <w:r>
        <w:t xml:space="preserve"> </w:t>
      </w:r>
      <w:r>
        <w:rPr>
          <w:rStyle w:val="VerbatimChar"/>
        </w:rPr>
        <w:t xml:space="preserve">ConnesRigidity.olean</w:t>
      </w:r>
      <w:r>
        <w:t xml:space="preserve"> </w:t>
      </w:r>
      <w:r>
        <w:t xml:space="preserve">had SHA-256</w:t>
      </w:r>
      <w:r>
        <w:t xml:space="preserve"> </w:t>
      </w:r>
      <w:r>
        <w:rPr>
          <w:rStyle w:val="VerbatimChar"/>
        </w:rPr>
        <w:t xml:space="preserve">8bdce6b12fec586b267399514d627b424f8ad7b8b8ac1737e4a8aff95a7aaea9</w:t>
      </w:r>
      <w:r>
        <w:t xml:space="preserve"> </w:t>
      </w:r>
      <w:r>
        <w:t xml:space="preserve">[42].</w:t>
      </w:r>
    </w:p>
    <w:p>
      <w:pPr>
        <w:pStyle w:val="FirstParagraph"/>
      </w:pPr>
      <w:r>
        <w:t xml:space="preserve">Codex B then inspected the full recursive declaration closure and the declarations originating in the target module. It reported 77,521 declarations in the recursive closure, 4,100 target-module declarations including the two roots, and successful native</w:t>
      </w:r>
      <w:r>
        <w:t xml:space="preserve"> </w:t>
      </w:r>
      <w:r>
        <w:rPr>
          <w:rStyle w:val="VerbatimChar"/>
        </w:rPr>
        <w:t xml:space="preserve">#print axioms</w:t>
      </w:r>
      <w:r>
        <w:t xml:space="preserve"> </w:t>
      </w:r>
      <w:r>
        <w:t xml:space="preserve">checks on the roots plus 4,098 selected supporting declarations. Sixty-six depended on no axiom; the remaining checked declarations reached only</w:t>
      </w:r>
      <w:r>
        <w:t xml:space="preserve"> </w:t>
      </w:r>
      <w:r>
        <w:rPr>
          <w:rStyle w:val="VerbatimChar"/>
        </w:rPr>
        <w:t xml:space="preserve">propext</w:t>
      </w:r>
      <w:r>
        <w:t xml:space="preserve">,</w:t>
      </w:r>
      <w:r>
        <w:t xml:space="preserve"> </w:t>
      </w:r>
      <w:r>
        <w:rPr>
          <w:rStyle w:val="VerbatimChar"/>
        </w:rPr>
        <w:t xml:space="preserve">Classical.choice</w:t>
      </w:r>
      <w:r>
        <w:t xml:space="preserve">, and</w:t>
      </w:r>
      <w:r>
        <w:t xml:space="preserve"> </w:t>
      </w:r>
      <w:r>
        <w:rPr>
          <w:rStyle w:val="VerbatimChar"/>
        </w:rPr>
        <w:t xml:space="preserve">Quot.sound</w:t>
      </w:r>
      <w:r>
        <w:t xml:space="preserve">. It found zero</w:t>
      </w:r>
      <w:r>
        <w:t xml:space="preserve"> </w:t>
      </w:r>
      <w:r>
        <w:rPr>
          <w:rStyle w:val="VerbatimChar"/>
        </w:rPr>
        <w:t xml:space="preserve">sorryAx</w:t>
      </w:r>
      <w:r>
        <w:t xml:space="preserve">, zero solution-source</w:t>
      </w:r>
      <w:r>
        <w:t xml:space="preserve"> </w:t>
      </w:r>
      <w:r>
        <w:rPr>
          <w:rStyle w:val="VerbatimChar"/>
        </w:rPr>
        <w:t xml:space="preserve">sorry</w:t>
      </w:r>
      <w:r>
        <w:t xml:space="preserve"> </w:t>
      </w:r>
      <w:r>
        <w:t xml:space="preserve">or</w:t>
      </w:r>
      <w:r>
        <w:t xml:space="preserve"> </w:t>
      </w:r>
      <w:r>
        <w:rPr>
          <w:rStyle w:val="VerbatimChar"/>
        </w:rPr>
        <w:t xml:space="preserve">admit</w:t>
      </w:r>
      <w:r>
        <w:t xml:space="preserve">, no explicit custom solution axiom, and exactly the two expected placeholders in the separate challenge specification [42].</w:t>
      </w:r>
    </w:p>
    <w:p>
      <w:pPr>
        <w:pStyle w:val="BodyText"/>
      </w:pPr>
      <w:r>
        <w:t xml:space="preserve">The repository-as-published checker path did not succeed unchanged. The first full invocation stopped at an unavailable</w:t>
      </w:r>
      <w:r>
        <w:t xml:space="preserve"> </w:t>
      </w:r>
      <w:r>
        <w:rPr>
          <w:rStyle w:val="VerbatimChar"/>
        </w:rPr>
        <w:t xml:space="preserve">systemd-run --user --pty</w:t>
      </w:r>
      <w:r>
        <w:t xml:space="preserve"> </w:t>
      </w:r>
      <w:r>
        <w:t xml:space="preserve">bus. After a fresh-distro systemd repair, Codex localized a command-line incompatibility in the current published Landrun revision. Official Landrun v0.1.15 also failed because its dependency discovery omitted the ELF loader. Codex then built the exact official pre-CLI-v3 commit:</w:t>
      </w:r>
    </w:p>
    <w:p>
      <w:pPr>
        <w:pStyle w:val="SourceCode"/>
        <w:spacing w:line="240" w:lineRule="auto" w:before="60" w:after="80"/>
        <w:ind w:right="144"/>
        <w:jc w:val="left"/>
        <w:shd w:fill="F3F1F6"/>
        <w:pBdr>
          <w:left w:val="single" w:sz="14" w:space="7" w:color="563778"/>
        </w:pBdr>
        <w:keepLines/>
      </w:pPr>
      <w:r>
        <w:rPr>
          <w:rStyle w:val="VerbatimChar"/>
          <w:rFonts w:ascii="Liberation Mono" w:hAnsi="Liberation Mono" w:eastAsia="Liberation Mono"/>
          <w:sz w:val="15"/>
        </w:rPr>
        <w:t xml:space="preserve">5283024a2f49b28046c3b4a06d7d775c058d4d80</w:t>
      </w:r>
    </w:p>
    <w:p>
      <w:pPr>
        <w:pStyle w:val="FirstParagraph"/>
      </w:pPr>
      <w:r>
        <w:t xml:space="preserve">That pinned binary preserved the nested separator and passed a real sandbox probe: UID/GID 1000/1000, zero effective capabilities,</w:t>
      </w:r>
      <w:r>
        <w:t xml:space="preserve"> </w:t>
      </w:r>
      <w:r>
        <w:rPr>
          <w:rStyle w:val="VerbatimChar"/>
        </w:rPr>
        <w:t xml:space="preserve">NoNewPrivs=1</w:t>
      </w:r>
      <w:r>
        <w:t xml:space="preserve">, permitted read and write, denied prohibited write, and denied AF_INET networking. With that pin, the complete Comparator path exited 0; both</w:t>
      </w:r>
      <w:r>
        <w:t xml:space="preserve"> </w:t>
      </w:r>
      <w:r>
        <w:rPr>
          <w:rStyle w:val="VerbatimChar"/>
        </w:rPr>
        <w:t xml:space="preserve">lean4export</w:t>
      </w:r>
      <w:r>
        <w:t xml:space="preserve"> </w:t>
      </w:r>
      <w:r>
        <w:t xml:space="preserve">invocations retained their literal</w:t>
      </w:r>
      <w:r>
        <w:t xml:space="preserve"> </w:t>
      </w:r>
      <w:r>
        <w:rPr>
          <w:rStyle w:val="VerbatimChar"/>
        </w:rPr>
        <w:t xml:space="preserve">--</w:t>
      </w:r>
      <w:r>
        <w:t xml:space="preserve">; Lean-kernel and nanoda acceptance markers appeared; and Comparator printed</w:t>
      </w:r>
      <w:r>
        <w:t xml:space="preserve"> </w:t>
      </w:r>
      <w:r>
        <w:rPr>
          <w:rStyle w:val="VerbatimChar"/>
        </w:rPr>
        <w:t xml:space="preserve">Your solution is okay!</w:t>
      </w:r>
      <w:r>
        <w:t xml:space="preserve"> </w:t>
      </w:r>
      <w:r>
        <w:t xml:space="preserve">[42].</w:t>
      </w:r>
    </w:p>
    <w:p>
      <w:pPr>
        <w:pStyle w:val="BodyText"/>
      </w:pPr>
      <w:r>
        <w:t xml:space="preserve">Codex B also conducted a source-level statement-fidelity review. It classified ICC, Kazhdan property (T), group von Neumann algebra, canonical trace, the theorem endpoints, finite generation, and nonisomorphism as proved equivalences to the intended notions. It classified the normality/order-continuity encoding, the trace-preserving normal star equivalence, and the universe-quantified formulation of property (T) as standard-looking but still specialist-dependent. It found no genuine mismatch.</w:t>
      </w:r>
    </w:p>
    <w:p>
      <w:pPr>
        <w:pStyle w:val="BodyText"/>
      </w:pPr>
      <w:r>
        <w:t xml:space="preserve">The final label nevertheless remained</w:t>
      </w:r>
      <w:r>
        <w:t xml:space="preserve"> </w:t>
      </w:r>
      <w:r>
        <w:rPr>
          <w:rStyle w:val="VerbatimChar"/>
        </w:rPr>
        <w:t xml:space="preserve">PARTIAL</w:t>
      </w:r>
      <w:r>
        <w:t xml:space="preserve">. A host-side</w:t>
      </w:r>
      <w:r>
        <w:t xml:space="preserve"> </w:t>
      </w:r>
      <w:r>
        <w:rPr>
          <w:rStyle w:val="VerbatimChar"/>
        </w:rPr>
        <w:t xml:space="preserve">bash.exe</w:t>
      </w:r>
      <w:r>
        <w:t xml:space="preserve"> </w:t>
      </w:r>
      <w:r>
        <w:t xml:space="preserve">syntax check resolved to a WSL execution alias, triggering the protocol’s conservative contamination stop. The stop prevented the scheduled rejection controls, a separately persistent fresh-export/nanoda replay, full recursive archival of two verdict-bearing stages, and a final clean-environment recheck. No evidence in the returned report indicates a mathematical-source, challenge-statement, axiom-policy, whitelist, checker-policy, or statement-fidelity failure. The partiality is procedural and real, not mathematical and imaginary.</w:t>
      </w:r>
    </w:p>
    <w:bookmarkEnd w:id="30"/>
    <w:bookmarkStart w:id="31" w:name="X44616f06aa94bb22632facc1a929a8eb92d287a"/>
    <w:p>
      <w:pPr>
        <w:pStyle w:val="Heading3"/>
        <w:jc w:val="left"/>
        <w:keepNext/>
        <w:keepLines/>
      </w:pPr>
      <w:r>
        <w:t xml:space="preserve">2.6 B2, cross-lab review, and the remaining publication gates</w:t>
      </w:r>
    </w:p>
    <w:p>
      <w:pPr>
        <w:pStyle w:val="FirstParagraph"/>
      </w:pPr>
      <w:r>
        <w:t xml:space="preserve">Codex B2 is a narrow technical-completion run, not a new social or mathematical argument. It is required to rebuild the pinned source in another fresh environment, reconstruct the official Landrun pin from source, repeat the genuine sandbox probe, generate fresh persistent exports, hash them before and after direct nanoda replay, and execute mandatory negative controls. Those controls include rejection of a mismatched disposable solution/challenge pair, rejection of a disposable disallowed axiom or</w:t>
      </w:r>
      <w:r>
        <w:t xml:space="preserve"> </w:t>
      </w:r>
      <w:r>
        <w:rPr>
          <w:rStyle w:val="VerbatimChar"/>
        </w:rPr>
        <w:t xml:space="preserve">sorryAx</w:t>
      </w:r>
      <w:r>
        <w:t xml:space="preserve">, nanoda rejection of a tampered export, denial of forbidden filesystem access and AF_INET networking, preservation of the nested</w:t>
      </w:r>
      <w:r>
        <w:t xml:space="preserve"> </w:t>
      </w:r>
      <w:r>
        <w:rPr>
          <w:rStyle w:val="VerbatimChar"/>
        </w:rPr>
        <w:t xml:space="preserve">--</w:t>
      </w:r>
      <w:r>
        <w:t xml:space="preserve">, and source/configuration integrity before and after the paths. Only after those controls and complete recursive archival may the audit become</w:t>
      </w:r>
      <w:r>
        <w:t xml:space="preserve"> </w:t>
      </w:r>
      <w:r>
        <w:rPr>
          <w:rStyle w:val="VerbatimChar"/>
        </w:rPr>
        <w:t xml:space="preserve">PASS_WITH_DEPENDENCY_PIN</w:t>
      </w:r>
      <w:r>
        <w:t xml:space="preserve"> </w:t>
      </w:r>
      <w:r>
        <w:t xml:space="preserve">or another final label.</w:t>
      </w:r>
    </w:p>
    <w:p>
      <w:pPr>
        <w:pStyle w:val="BodyText"/>
      </w:pPr>
      <w:r>
        <w:t xml:space="preserve">After B2, a separate operator packet will run five fresh Claude reviews without exposing them to one another:</w:t>
      </w:r>
    </w:p>
    <w:tbl>
      <w:tblPr>
        <w:tblStyle w:val="Table"/>
        <w:tblW w:type="pct" w:w="5000"/>
        <w:jc w:val="center"/>
        <w:tblLayout w:type="fixed"/>
        <w:tblLook w:firstRow="1" w:lastRow="0" w:firstColumn="0" w:lastColumn="0" w:noHBand="0" w:noVBand="0" w:val="0020"/>
      </w:tblPr>
      <w:tblGrid>
        <w:gridCol w:w="2640"/>
        <w:gridCol w:w="2640"/>
        <w:gridCol w:w="2640"/>
      </w:tblGrid>
      <w:tr>
        <w:trPr>
          <w:tblHeader w:val="on"/>
          <w:cantSplit/>
        </w:trPr>
        <w:tc>
          <w:tcPr>
            <w:tcW w:w="151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Pass</w:t>
            </w:r>
          </w:p>
        </w:tc>
        <w:tc>
          <w:tcPr>
            <w:tcW w:w="3384"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Model and role</w:t>
            </w:r>
          </w:p>
        </w:tc>
        <w:tc>
          <w:tcPr>
            <w:tcW w:w="475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Information boundary</w:t>
            </w:r>
          </w:p>
        </w:tc>
      </w:tr>
      <w:tr>
        <w:trPr>
          <w:cantSplit/>
        </w:trPr>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P0</w:t>
            </w:r>
          </w:p>
        </w:tc>
        <w:tc>
          <w:tcPr>
            <w:tcW w:w="338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Opus 5 blind mathematical reconstruction</w:t>
            </w:r>
          </w:p>
        </w:tc>
        <w:tc>
          <w:tcPr>
            <w:tcW w:w="475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Primary mathematical sources only</w:t>
            </w:r>
          </w:p>
        </w:tc>
      </w:tr>
      <w:tr>
        <w:trPr>
          <w:cantSplit/>
        </w:trPr>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P1</w:t>
            </w:r>
          </w:p>
        </w:tc>
        <w:tc>
          <w:tcPr>
            <w:tcW w:w="338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Opus 5 receipt audit</w:t>
            </w:r>
          </w:p>
        </w:tc>
        <w:tc>
          <w:tcPr>
            <w:tcW w:w="475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Raw Codex A, Codex B/B2 receipts only</w:t>
            </w:r>
          </w:p>
        </w:tc>
      </w:tr>
      <w:tr>
        <w:trPr>
          <w:cantSplit/>
        </w:trPr>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P2A</w:t>
            </w:r>
          </w:p>
        </w:tc>
        <w:tc>
          <w:tcPr>
            <w:tcW w:w="338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Fable 5 strongest defense of Nielsen</w:t>
            </w:r>
          </w:p>
        </w:tc>
        <w:tc>
          <w:tcPr>
            <w:tcW w:w="475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Frozen manuscript, primary sources, machine receipts; no prior reviewer reports</w:t>
            </w:r>
          </w:p>
        </w:tc>
      </w:tr>
      <w:tr>
        <w:trPr>
          <w:cantSplit/>
        </w:trPr>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P2B</w:t>
            </w:r>
          </w:p>
        </w:tc>
        <w:tc>
          <w:tcPr>
            <w:tcW w:w="338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Opus 5 strongest attack on this paper</w:t>
            </w:r>
          </w:p>
        </w:tc>
        <w:tc>
          <w:tcPr>
            <w:tcW w:w="475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Same source corpus; explicit permission to recommend withdrawal</w:t>
            </w:r>
          </w:p>
        </w:tc>
      </w:tr>
      <w:tr>
        <w:trPr>
          <w:cantSplit/>
        </w:trPr>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P3</w:t>
            </w:r>
          </w:p>
        </w:tc>
        <w:tc>
          <w:tcPr>
            <w:tcW w:w="338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Opus 5 conduct and responsible-partnership review</w:t>
            </w:r>
          </w:p>
        </w:tc>
        <w:tc>
          <w:tcPr>
            <w:tcW w:w="475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Interaction evidence and research manifest; no mathematical verdicts</w:t>
            </w:r>
          </w:p>
        </w:tc>
      </w:tr>
    </w:tbl>
    <w:p>
      <w:pPr>
        <w:pStyle w:val="BodyText"/>
      </w:pPr>
      <w:r>
        <w:t xml:space="preserve">A final fresh Codex synthesis will compare the audits and reports without vote-counting, produce a claim-disposition matrix, specialist queue, conduct and interlocutor recommendations, Ubuntu-retirement recommendation, and publication gate. Until those outputs are returned and integrated, v1.3 remains an interim checkpoint.</w:t>
      </w:r>
    </w:p>
    <w:bookmarkEnd w:id="31"/>
    <w:bookmarkStart w:id="32" w:name="X21f1c8cce2b06ca5ddab24801b5bd21d3ed6f88"/>
    <w:p>
      <w:pPr>
        <w:pStyle w:val="Heading3"/>
        <w:jc w:val="left"/>
        <w:keepNext/>
        <w:keepLines/>
      </w:pPr>
      <w:r>
        <w:t xml:space="preserve">2.7 Earlier C0-C5 adversarial review and the failed Gemini stage</w:t>
      </w:r>
    </w:p>
    <w:p>
      <w:pPr>
        <w:pStyle w:val="FirstParagraph"/>
      </w:pPr>
      <w:r>
        <w:t xml:space="preserve">The earlier review run was designed to avoid counting a model vote. Before attempting Gemini, a fresh Codex context completed and froze six passes without access to any Gemini answer:</w:t>
      </w:r>
    </w:p>
    <w:tbl>
      <w:tblPr>
        <w:tblStyle w:val="Table"/>
        <w:tblW w:type="pct" w:w="5000"/>
        <w:jc w:val="center"/>
        <w:tblLayout w:type="fixed"/>
        <w:tblLook w:firstRow="1" w:lastRow="0" w:firstColumn="0" w:lastColumn="0" w:noHBand="0" w:noVBand="0" w:val="0020"/>
      </w:tblPr>
      <w:tblGrid>
        <w:gridCol w:w="2640"/>
        <w:gridCol w:w="2640"/>
        <w:gridCol w:w="2640"/>
      </w:tblGrid>
      <w:tr>
        <w:trPr>
          <w:tblHeader w:val="on"/>
          <w:cantSplit/>
        </w:trPr>
        <w:tc>
          <w:tcPr>
            <w:tcW w:w="1007"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Pass</w:t>
            </w:r>
          </w:p>
        </w:tc>
        <w:tc>
          <w:tcPr>
            <w:tcW w:w="3528"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Assignment</w:t>
            </w:r>
          </w:p>
        </w:tc>
        <w:tc>
          <w:tcPr>
            <w:tcW w:w="511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Principal outcome</w:t>
            </w:r>
          </w:p>
        </w:tc>
      </w:tr>
      <w:tr>
        <w:trPr>
          <w:cantSplit/>
        </w:trPr>
        <w:tc>
          <w:tcPr>
            <w:tcW w:w="1007"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C0</w:t>
            </w:r>
          </w:p>
        </w:tc>
        <w:tc>
          <w:tcPr>
            <w:tcW w:w="35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Blind mathematical reconstruction from primary sources</w:t>
            </w:r>
          </w:p>
        </w:tc>
        <w:tc>
          <w:tcPr>
            <w:tcW w:w="51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Reconstructed the OpenAI objects,</w:t>
            </w:r>
            <w:r>
              <w:rPr>
                <w:rFonts w:ascii="Liberation Sans" w:hAnsi="Liberation Sans" w:eastAsia="Liberation Sans"/>
                <w:sz w:val="15"/>
              </w:rPr>
              <w:t xml:space="preserve"> </w:t>
            </w:r>
            <m:oMath>
              <m:r>
                <m:t>n</m:t>
              </m:r>
              <m:r>
                <m:rPr>
                  <m:sty m:val="p"/>
                </m:rPr>
                <m:t>=</m:t>
              </m:r>
              <m:r>
                <m:t>0</m:t>
              </m:r>
            </m:oMath>
            <w:r>
              <w:rPr>
                <w:rFonts w:ascii="Liberation Sans" w:hAnsi="Liberation Sans" w:eastAsia="Liberation Sans"/>
                <w:sz w:val="15"/>
              </w:rPr>
              <w:t xml:space="preserve"> </w:t>
            </w:r>
            <w:r>
              <w:rPr>
                <w:rFonts w:ascii="Liberation Sans" w:hAnsi="Liberation Sans" w:eastAsia="Liberation Sans"/>
                <w:sz w:val="15"/>
              </w:rPr>
              <w:t xml:space="preserve">carry, Ioana full-image hypothesis, Section 9 mismatch, torsion branch, and appendix boundary without seeing this paper</w:t>
            </w:r>
          </w:p>
        </w:tc>
      </w:tr>
      <w:tr>
        <w:trPr>
          <w:cantSplit/>
        </w:trPr>
        <w:tc>
          <w:tcPr>
            <w:tcW w:w="1007"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C1</w:t>
            </w:r>
          </w:p>
        </w:tc>
        <w:tc>
          <w:tcPr>
            <w:tcW w:w="352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Machine-receipt audit</w:t>
            </w:r>
          </w:p>
        </w:tc>
        <w:tc>
          <w:tcPr>
            <w:tcW w:w="51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Confirmed the original build and checker claims at</w:t>
            </w:r>
            <w:r>
              <w:rPr>
                <w:rFonts w:ascii="Liberation Sans" w:hAnsi="Liberation Sans" w:eastAsia="Liberation Sans"/>
                <w:sz w:val="15"/>
              </w:rPr>
              <w:t xml:space="preserve"> </w:t>
            </w:r>
            <w:r>
              <w:rPr>
                <w:rStyle w:val="VerbatimChar"/>
                <w:rFonts w:ascii="Liberation Sans" w:hAnsi="Liberation Sans" w:eastAsia="Liberation Sans"/>
                <w:sz w:val="15"/>
              </w:rPr>
              <w:t xml:space="preserve">PARTIAL</w:t>
            </w:r>
            <w:r>
              <w:rPr>
                <w:rFonts w:ascii="Liberation Sans" w:hAnsi="Liberation Sans" w:eastAsia="Liberation Sans"/>
                <w:sz w:val="15"/>
              </w:rPr>
              <w:t xml:space="preserve"> </w:t>
            </w:r>
            <w:r>
              <w:rPr>
                <w:rFonts w:ascii="Liberation Sans" w:hAnsi="Liberation Sans" w:eastAsia="Liberation Sans"/>
                <w:sz w:val="15"/>
              </w:rPr>
              <w:t xml:space="preserve">trust boundaries; preserved the unsandboxed Comparator caveat</w:t>
            </w:r>
          </w:p>
        </w:tc>
      </w:tr>
      <w:tr>
        <w:trPr>
          <w:cantSplit/>
        </w:trPr>
        <w:tc>
          <w:tcPr>
            <w:tcW w:w="1007"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C2</w:t>
            </w:r>
          </w:p>
        </w:tc>
        <w:tc>
          <w:tcPr>
            <w:tcW w:w="35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Strongest attack on</w:t>
            </w:r>
            <w:r>
              <w:rPr>
                <w:rFonts w:ascii="Liberation Sans" w:hAnsi="Liberation Sans" w:eastAsia="Liberation Sans"/>
                <w:sz w:val="15"/>
              </w:rPr>
              <w:t xml:space="preserve"> </w:t>
            </w:r>
            <w:r>
              <w:rPr>
                <w:rFonts w:ascii="Liberation Sans" w:hAnsi="Liberation Sans" w:eastAsia="Liberation Sans"/>
                <w:i/>
                <w:iCs/>
                <w:sz w:val="15"/>
              </w:rPr>
              <w:t xml:space="preserve">The Verdict as Axiom</w:t>
            </w:r>
          </w:p>
        </w:tc>
        <w:tc>
          <w:tcPr>
            <w:tcW w:w="51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Found the v47 digest inconsistency, the false overbar allegation, overconfident statement-fidelity wording, and missing conduct evidence</w:t>
            </w:r>
          </w:p>
        </w:tc>
      </w:tr>
      <w:tr>
        <w:trPr>
          <w:cantSplit/>
        </w:trPr>
        <w:tc>
          <w:tcPr>
            <w:tcW w:w="1007"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C3</w:t>
            </w:r>
          </w:p>
        </w:tc>
        <w:tc>
          <w:tcPr>
            <w:tcW w:w="352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Strongest source-grounded defense of Nielsen</w:t>
            </w:r>
          </w:p>
        </w:tc>
        <w:tc>
          <w:tcPr>
            <w:tcW w:w="51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Mounted the best available defenses, but found no source-faithful repair for the full-image containment failure</w:t>
            </w:r>
          </w:p>
        </w:tc>
      </w:tr>
      <w:tr>
        <w:trPr>
          <w:cantSplit/>
        </w:trPr>
        <w:tc>
          <w:tcPr>
            <w:tcW w:w="1007"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C4</w:t>
            </w:r>
          </w:p>
        </w:tc>
        <w:tc>
          <w:tcPr>
            <w:tcW w:w="352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Validation, quotation, and reference audit</w:t>
            </w:r>
          </w:p>
        </w:tc>
        <w:tc>
          <w:tcPr>
            <w:tcW w:w="51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Corrected the live version count and required primary evidence for public-record claims</w:t>
            </w:r>
          </w:p>
        </w:tc>
      </w:tr>
      <w:tr>
        <w:trPr>
          <w:cantSplit/>
        </w:trPr>
        <w:tc>
          <w:tcPr>
            <w:tcW w:w="1007"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C5</w:t>
            </w:r>
          </w:p>
        </w:tc>
        <w:tc>
          <w:tcPr>
            <w:tcW w:w="352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Synthesis</w:t>
            </w:r>
          </w:p>
        </w:tc>
        <w:tc>
          <w:tcPr>
            <w:tcW w:w="51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Recommended</w:t>
            </w:r>
            <w:r>
              <w:rPr>
                <w:rFonts w:ascii="Liberation Sans" w:hAnsi="Liberation Sans" w:eastAsia="Liberation Sans"/>
                <w:sz w:val="15"/>
              </w:rPr>
              <w:t xml:space="preserve"> </w:t>
            </w:r>
            <w:r>
              <w:rPr>
                <w:rFonts w:ascii="Liberation Sans" w:hAnsi="Liberation Sans" w:eastAsia="Liberation Sans"/>
                <w:sz w:val="15"/>
              </w:rPr>
              <w:t xml:space="preserve">“</w:t>
            </w:r>
            <w:r>
              <w:rPr>
                <w:rFonts w:ascii="Liberation Sans" w:hAnsi="Liberation Sans" w:eastAsia="Liberation Sans"/>
                <w:sz w:val="15"/>
              </w:rPr>
              <w:t xml:space="preserve">publishable after specified material revisions,</w:t>
            </w:r>
            <w:r>
              <w:rPr>
                <w:rFonts w:ascii="Liberation Sans" w:hAnsi="Liberation Sans" w:eastAsia="Liberation Sans"/>
                <w:sz w:val="15"/>
              </w:rPr>
              <w:t xml:space="preserve">”</w:t>
            </w:r>
            <w:r>
              <w:rPr>
                <w:rFonts w:ascii="Liberation Sans" w:hAnsi="Liberation Sans" w:eastAsia="Liberation Sans"/>
                <w:sz w:val="15"/>
              </w:rPr>
              <w:t xml:space="preserve"> </w:t>
            </w:r>
            <w:r>
              <w:rPr>
                <w:rFonts w:ascii="Liberation Sans" w:hAnsi="Liberation Sans" w:eastAsia="Liberation Sans"/>
                <w:sz w:val="15"/>
              </w:rPr>
              <w:t xml:space="preserve">not validation without revision [31]</w:t>
            </w:r>
          </w:p>
        </w:tc>
      </w:tr>
    </w:tbl>
    <w:p>
      <w:pPr>
        <w:pStyle w:val="BodyText"/>
      </w:pPr>
      <w:r>
        <w:t xml:space="preserve">The mathematical finding that survived both attack directions was the smallest one. Ioana’s condition (2) is printed on the full image. Nielsen’s</w:t>
      </w:r>
      <w:r>
        <w:t xml:space="preserve"> </w:t>
      </w:r>
      <m:oMath>
        <m:r>
          <m:t>Θ</m:t>
        </m:r>
        <m:d>
          <m:dPr>
            <m:begChr m:val="("/>
            <m:endChr m:val=")"/>
            <m:sepChr m:val=""/>
            <m:grow/>
          </m:dPr>
          <m:e>
            <m:sSub>
              <m:e>
                <m:r>
                  <m:t>A</m:t>
                </m:r>
              </m:e>
              <m:sub>
                <m:r>
                  <m:t>G</m:t>
                </m:r>
              </m:sub>
            </m:sSub>
          </m:e>
        </m:d>
      </m:oMath>
      <w:r>
        <w:t xml:space="preserve"> </w:t>
      </w:r>
      <w:r>
        <w:t xml:space="preserve">is unital and contained in a forbidden mixed leg. Containment supplies intertwining. The strongest defense could not remove that contradiction without changing the theorem or the map [31].</w:t>
      </w:r>
    </w:p>
    <w:p>
      <w:pPr>
        <w:pStyle w:val="BodyText"/>
      </w:pPr>
      <w:r>
        <w:t xml:space="preserve">The Gemini stage failed before substantive review. Gemini 3.1 Pro with extended thinking was placed in a fresh chat with memory, saved instructions, and connected apps disabled. It could not extract or access the required archive corpus and returned only a source-access failure ledger. No follow-up, regeneration, or mathematical verdict occurred. The result is archived as</w:t>
      </w:r>
      <w:r>
        <w:t xml:space="preserve"> </w:t>
      </w:r>
      <w:r>
        <w:rPr>
          <w:rStyle w:val="VerbatimChar"/>
        </w:rPr>
        <w:t xml:space="preserve">BLOCKED_SOURCE_ACCESS</w:t>
      </w:r>
      <w:r>
        <w:t xml:space="preserve"> </w:t>
      </w:r>
      <w:r>
        <w:t xml:space="preserve">and carries no evidentiary weight [31].</w:t>
      </w:r>
    </w:p>
    <w:bookmarkEnd w:id="32"/>
    <w:bookmarkEnd w:id="33"/>
    <w:bookmarkStart w:id="36" w:name="Xeb7f6c184fff2e608bc7b49a645afc1c5ffb1b6"/>
    <w:p>
      <w:pPr>
        <w:pStyle w:val="Heading2"/>
        <w:jc w:val="left"/>
        <w:keepNext/>
        <w:keepLines/>
      </w:pPr>
      <w:r>
        <w:t xml:space="preserve">3. Revision history: the verdict remains while the objects change</w:t>
      </w:r>
    </w:p>
    <w:p>
      <w:pPr>
        <w:pStyle w:val="FirstParagraph"/>
      </w:pPr>
      <w:r>
        <w:t xml:space="preserve">The revision history is mathematically relevant because the founding argument is later abandoned without the founding conclusion being surrendered.</w:t>
      </w:r>
    </w:p>
    <w:tbl>
      <w:tblPr>
        <w:tblStyle w:val="Table"/>
        <w:tblW w:type="pct" w:w="5000"/>
        <w:jc w:val="center"/>
        <w:tblLayout w:type="fixed"/>
        <w:tblLook w:firstRow="1" w:lastRow="0" w:firstColumn="0" w:lastColumn="0" w:noHBand="0" w:noVBand="0" w:val="0020"/>
      </w:tblPr>
      <w:tblGrid>
        <w:gridCol w:w="1980"/>
        <w:gridCol w:w="1980"/>
        <w:gridCol w:w="1980"/>
        <w:gridCol w:w="1980"/>
      </w:tblGrid>
      <w:tr>
        <w:trPr>
          <w:tblHeader w:val="on"/>
          <w:cantSplit/>
        </w:trPr>
        <w:tc>
          <w:tcPr>
            <w:tcW w:w="1007"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Version</w:t>
            </w:r>
          </w:p>
        </w:tc>
        <w:tc>
          <w:tcPr>
            <w:tcW w:w="151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Public form</w:t>
            </w:r>
          </w:p>
        </w:tc>
        <w:tc>
          <w:tcPr>
            <w:tcW w:w="3311"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Central claim</w:t>
            </w:r>
          </w:p>
        </w:tc>
        <w:tc>
          <w:tcPr>
            <w:tcW w:w="3816"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What changed</w:t>
            </w:r>
          </w:p>
        </w:tc>
      </w:tr>
      <w:tr>
        <w:trPr>
          <w:cantSplit/>
        </w:trPr>
        <w:tc>
          <w:tcPr>
            <w:tcW w:w="1007"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v1</w:t>
            </w:r>
          </w:p>
        </w:tc>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2 pages</w:t>
            </w:r>
          </w:p>
        </w:tc>
        <w:tc>
          <w:tcPr>
            <w:tcW w:w="331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Both groups are central extensions by</w:t>
            </w:r>
            <w:r>
              <w:rPr>
                <w:rFonts w:ascii="Liberation Sans" w:hAnsi="Liberation Sans" w:eastAsia="Liberation Sans"/>
                <w:sz w:val="14"/>
              </w:rPr>
              <w:t xml:space="preserve"> </w:t>
            </w:r>
            <m:oMath>
              <m:sSup>
                <m:e>
                  <m:r>
                    <m:rPr>
                      <m:sty m:val="p"/>
                      <m:scr m:val="double-struck"/>
                    </m:rPr>
                    <m:t>Z</m:t>
                  </m:r>
                </m:e>
                <m:sup>
                  <m:r>
                    <m:t>2</m:t>
                  </m:r>
                  <m:r>
                    <m:t>n</m:t>
                  </m:r>
                </m:sup>
              </m:sSup>
            </m:oMath>
            <w:r>
              <w:rPr>
                <w:rFonts w:ascii="Liberation Sans" w:hAnsi="Liberation Sans" w:eastAsia="Liberation Sans"/>
                <w:sz w:val="14"/>
              </w:rPr>
              <w:t xml:space="preserve">; the lattice is central; neither group is ICC [2].</w:t>
            </w:r>
          </w:p>
        </w:tc>
        <w:tc>
          <w:tcPr>
            <w:tcW w:w="381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No source-level correspondence to the actual OpenAI objects.</w:t>
            </w:r>
          </w:p>
        </w:tc>
      </w:tr>
      <w:tr>
        <w:trPr>
          <w:cantSplit/>
        </w:trPr>
        <w:tc>
          <w:tcPr>
            <w:tcW w:w="1007"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v17</w:t>
            </w:r>
          </w:p>
        </w:tc>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19 pages</w:t>
            </w:r>
          </w:p>
        </w:tc>
        <w:tc>
          <w:tcPr>
            <w:tcW w:w="331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The split case is still treated as a direct product; the twisted case is left partly uncertain; the disproof remains [3].</w:t>
            </w:r>
          </w:p>
        </w:tc>
        <w:tc>
          <w:tcPr>
            <w:tcW w:w="381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The manuscript correctly lists</w:t>
            </w:r>
            <w:r>
              <w:rPr>
                <w:rFonts w:ascii="Liberation Sans" w:hAnsi="Liberation Sans" w:eastAsia="Liberation Sans"/>
                <w:sz w:val="14"/>
              </w:rPr>
              <w:t xml:space="preserve"> </w:t>
            </w:r>
            <m:oMath>
              <m:r>
                <m:t>Λ</m:t>
              </m:r>
              <m:r>
                <m:rPr>
                  <m:sty m:val="p"/>
                </m:rPr>
                <m:t>=</m:t>
              </m:r>
              <m:r>
                <m:t>D</m:t>
              </m:r>
              <m:r>
                <m:rPr>
                  <m:sty m:val="p"/>
                </m:rPr>
                <m:t>⋊</m:t>
              </m:r>
              <m:r>
                <m:t>K</m:t>
              </m:r>
            </m:oMath>
            <w:r>
              <w:rPr>
                <w:rFonts w:ascii="Liberation Sans" w:hAnsi="Liberation Sans" w:eastAsia="Liberation Sans"/>
                <w:sz w:val="14"/>
              </w:rPr>
              <w:t xml:space="preserve">,</w:t>
            </w:r>
            <w:r>
              <w:rPr>
                <w:rFonts w:ascii="Liberation Sans" w:hAnsi="Liberation Sans" w:eastAsia="Liberation Sans"/>
                <w:sz w:val="14"/>
              </w:rPr>
              <w:t xml:space="preserve"> </w:t>
            </w:r>
            <m:oMath>
              <m:sSub>
                <m:e>
                  <m:r>
                    <m:t>Γ</m:t>
                  </m:r>
                </m:e>
                <m:sub>
                  <m:r>
                    <m:t>n</m:t>
                  </m:r>
                </m:sub>
              </m:sSub>
              <m:r>
                <m:rPr>
                  <m:sty m:val="p"/>
                </m:rPr>
                <m:t>=</m:t>
              </m:r>
              <m:sSub>
                <m:e>
                  <m:r>
                    <m:t>E</m:t>
                  </m:r>
                </m:e>
                <m:sub>
                  <m:r>
                    <m:t>n</m:t>
                  </m:r>
                </m:sub>
              </m:sSub>
              <m:r>
                <m:rPr>
                  <m:sty m:val="p"/>
                </m:rPr>
                <m:t>⋊</m:t>
              </m:r>
              <m:r>
                <m:t>K</m:t>
              </m:r>
            </m:oMath>
            <w:r>
              <w:rPr>
                <w:rFonts w:ascii="Liberation Sans" w:hAnsi="Liberation Sans" w:eastAsia="Liberation Sans"/>
                <w:sz w:val="14"/>
              </w:rPr>
              <w:t xml:space="preserve">,</w:t>
            </w:r>
            <w:r>
              <w:rPr>
                <w:rFonts w:ascii="Liberation Sans" w:hAnsi="Liberation Sans" w:eastAsia="Liberation Sans"/>
                <w:sz w:val="14"/>
              </w:rPr>
              <w:t xml:space="preserve"> </w:t>
            </w:r>
            <m:oMath>
              <m:r>
                <m:t>K</m:t>
              </m:r>
              <m:r>
                <m:rPr>
                  <m:sty m:val="p"/>
                </m:rPr>
                <m:t>=</m:t>
              </m:r>
              <m:r>
                <m:rPr>
                  <m:sty m:val="p"/>
                </m:rPr>
                <m:t>ker</m:t>
              </m:r>
              <m:d>
                <m:dPr>
                  <m:begChr m:val="("/>
                  <m:endChr m:val=")"/>
                  <m:sepChr m:val=""/>
                  <m:grow/>
                </m:dPr>
                <m:e>
                  <m:r>
                    <m:t>S</m:t>
                  </m:r>
                  <m:sSub>
                    <m:e>
                      <m:r>
                        <m:t>L</m:t>
                      </m:r>
                    </m:e>
                    <m:sub>
                      <m:r>
                        <m:t>4</m:t>
                      </m:r>
                    </m:sub>
                  </m:sSub>
                  <m:d>
                    <m:dPr>
                      <m:begChr m:val="("/>
                      <m:endChr m:val=")"/>
                      <m:sepChr m:val=""/>
                      <m:grow/>
                    </m:dPr>
                    <m:e>
                      <m:r>
                        <m:rPr>
                          <m:sty m:val="p"/>
                          <m:scr m:val="double-struck"/>
                        </m:rPr>
                        <m:t>Z</m:t>
                      </m:r>
                      <m:d>
                        <m:dPr>
                          <m:begChr m:val="["/>
                          <m:endChr m:val="]"/>
                          <m:sepChr m:val=""/>
                          <m:grow/>
                        </m:dPr>
                        <m:e>
                          <m:r>
                            <m:t>t</m:t>
                          </m:r>
                        </m:e>
                      </m:d>
                    </m:e>
                  </m:d>
                  <m:r>
                    <m:rPr>
                      <m:sty m:val="p"/>
                    </m:rPr>
                    <m:t>→</m:t>
                  </m:r>
                  <m:r>
                    <m:t>S</m:t>
                  </m:r>
                  <m:sSub>
                    <m:e>
                      <m:r>
                        <m:t>L</m:t>
                      </m:r>
                    </m:e>
                    <m:sub>
                      <m:r>
                        <m:t>4</m:t>
                      </m:r>
                    </m:sub>
                  </m:sSub>
                  <m:d>
                    <m:dPr>
                      <m:begChr m:val="("/>
                      <m:endChr m:val=")"/>
                      <m:sepChr m:val=""/>
                      <m:grow/>
                    </m:dPr>
                    <m:e>
                      <m:sSub>
                        <m:e>
                          <m:r>
                            <m:rPr>
                              <m:sty m:val="p"/>
                              <m:scr m:val="double-struck"/>
                            </m:rPr>
                            <m:t>F</m:t>
                          </m:r>
                        </m:e>
                        <m:sub>
                          <m:r>
                            <m:t>3</m:t>
                          </m:r>
                        </m:sub>
                      </m:sSub>
                    </m:e>
                  </m:d>
                </m:e>
              </m:d>
            </m:oMath>
            <w:r>
              <w:rPr>
                <w:rFonts w:ascii="Liberation Sans" w:hAnsi="Liberation Sans" w:eastAsia="Liberation Sans"/>
                <w:sz w:val="14"/>
              </w:rPr>
              <w:t xml:space="preserve">, and</w:t>
            </w:r>
            <w:r>
              <w:rPr>
                <w:rFonts w:ascii="Liberation Sans" w:hAnsi="Liberation Sans" w:eastAsia="Liberation Sans"/>
                <w:sz w:val="14"/>
              </w:rPr>
              <w:t xml:space="preserve"> </w:t>
            </w:r>
            <m:oMath>
              <m:r>
                <m:t>V</m:t>
              </m:r>
              <m:r>
                <m:rPr>
                  <m:sty m:val="p"/>
                </m:rPr>
                <m:t>=</m:t>
              </m:r>
              <m:sSub>
                <m:e>
                  <m:r>
                    <m:rPr>
                      <m:sty m:val="p"/>
                      <m:scr m:val="double-struck"/>
                    </m:rPr>
                    <m:t>F</m:t>
                  </m:r>
                </m:e>
                <m:sub>
                  <m:r>
                    <m:t>2</m:t>
                  </m:r>
                </m:sub>
              </m:sSub>
              <m:sSup>
                <m:e>
                  <m:d>
                    <m:dPr>
                      <m:begChr m:val="["/>
                      <m:endChr m:val="]"/>
                      <m:sepChr m:val=""/>
                      <m:grow/>
                    </m:dPr>
                    <m:e>
                      <m:r>
                        <m:t>t</m:t>
                      </m:r>
                    </m:e>
                  </m:d>
                </m:e>
                <m:sup>
                  <m:r>
                    <m:t>4</m:t>
                  </m:r>
                </m:sup>
              </m:sSup>
            </m:oMath>
            <w:r>
              <w:rPr>
                <w:rFonts w:ascii="Liberation Sans" w:hAnsi="Liberation Sans" w:eastAsia="Liberation Sans"/>
                <w:sz w:val="14"/>
              </w:rPr>
              <w:t xml:space="preserve">, yet continues the incompatible direct-product attack. It also expressly discloses Claude-produced Lean appendices.</w:t>
            </w:r>
          </w:p>
        </w:tc>
      </w:tr>
      <w:tr>
        <w:trPr>
          <w:cantSplit/>
        </w:trPr>
        <w:tc>
          <w:tcPr>
            <w:tcW w:w="1007"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v47</w:t>
            </w:r>
          </w:p>
        </w:tc>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42 pages</w:t>
            </w:r>
          </w:p>
        </w:tc>
        <w:tc>
          <w:tcPr>
            <w:tcW w:w="331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OpenAI and Anthropic counterexamples are invalid; Connes’ conjecture is proved [1].</w:t>
            </w:r>
          </w:p>
        </w:tc>
        <w:tc>
          <w:tcPr>
            <w:tcW w:w="381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Adds Ioana, Borel-Margulis-Schur, surjectivity, QFT, torsor, and Cayley-Dickson claims; Part B of the appendix is a proof skeleton whose load-bearing analytic steps are axioms.</w:t>
            </w:r>
          </w:p>
        </w:tc>
      </w:tr>
      <w:tr>
        <w:trPr>
          <w:cantSplit/>
        </w:trPr>
        <w:tc>
          <w:tcPr>
            <w:tcW w:w="1007"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v50</w:t>
            </w:r>
          </w:p>
        </w:tc>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46 pages</w:t>
            </w:r>
          </w:p>
        </w:tc>
        <w:tc>
          <w:tcPr>
            <w:tcW w:w="331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OpenAI, Anthropic, and Zhou counterexamples are invalid; the same move proves the conjecture [30].</w:t>
            </w:r>
          </w:p>
        </w:tc>
        <w:tc>
          <w:tcPr>
            <w:tcW w:w="381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Adds Zhou, expands the universal argument, retains the OpenAI object misreading and the full-image/Cartan substitution, retains the axiomatized proof skeleton, and removes the explicit Claude-assistance disclosure found in v17.</w:t>
            </w:r>
          </w:p>
        </w:tc>
      </w:tr>
    </w:tbl>
    <w:p>
      <w:pPr>
        <w:pStyle w:val="BodyText"/>
      </w:pPr>
      <w:r>
        <w:t xml:space="preserve">Version 1’s reasoning is almost maximally simple. It says both groups are central extensions and therefore the lattice lies in the center [2]. But a semidirect product with nontrivial action is not a central extension. By version 17, the paper’s own table has found the actual semidirect products and the nontrivial orbit machinery, but the verdict does not update [3]. By version 47, the original center argument is expressly inapplicable to the genuine Anthropic pair, yet the conclusion expands from</w:t>
      </w:r>
      <w:r>
        <w:t xml:space="preserve"> </w:t>
      </w:r>
      <w:r>
        <w:t xml:space="preserve">“</w:t>
      </w:r>
      <w:r>
        <w:t xml:space="preserve">the counterexample fails</w:t>
      </w:r>
      <w:r>
        <w:t xml:space="preserve">”</w:t>
      </w:r>
      <w:r>
        <w:t xml:space="preserve"> </w:t>
      </w:r>
      <w:r>
        <w:t xml:space="preserve">to</w:t>
      </w:r>
      <w:r>
        <w:t xml:space="preserve"> </w:t>
      </w:r>
      <w:r>
        <w:t xml:space="preserve">“</w:t>
      </w:r>
      <w:r>
        <w:t xml:space="preserve">the conjecture is proved</w:t>
      </w:r>
      <w:r>
        <w:t xml:space="preserve">”</w:t>
      </w:r>
      <w:r>
        <w:t xml:space="preserve"> </w:t>
      </w:r>
      <w:r>
        <w:t xml:space="preserve">[1]. Version 50 adds a third alleged defeat and more exposition, not a new loss condition [30].</w:t>
      </w:r>
    </w:p>
    <w:p>
      <w:pPr>
        <w:pStyle w:val="BodyText"/>
      </w:pPr>
      <w:r>
        <w:t xml:space="preserve">The pattern is conclusion-preserving revision:</w:t>
      </w:r>
    </w:p>
    <w:p>
      <w:pPr>
        <w:pStyle w:val="BlockText"/>
        <w:shd w:fill="F7F5F9"/>
        <w:pBdr>
          <w:left w:val="single" w:sz="14" w:space="7" w:color="563778"/>
        </w:pBdr>
        <w:spacing w:before="60" w:after="80"/>
        <w:keepLines/>
      </w:pPr>
      <w:r>
        <w:rPr>
          <w:sz w:val="18"/>
        </w:rPr>
        <w:t xml:space="preserve">The objects change. The argument changes. The scope expands. The verdict remains fixed.</w:t>
      </w:r>
    </w:p>
    <w:p>
      <w:pPr>
        <w:pStyle w:val="FirstParagraph"/>
      </w:pPr>
      <w:r>
        <w:t xml:space="preserve">A scientific or mathematical claim needs an exit door. In the pinned versions examined, we found no explicit source definition, theorem hypothesis, computation, or specialist objection that the author states would cause the central conclusion to be withdrawn. Adverse evidence is instead absorbed as another remark or another branch of a disjunction. That is why the title of this paper refers to the verdict as an axiom.</w:t>
      </w:r>
    </w:p>
    <w:bookmarkStart w:id="34" w:name="X8478d34543174f150ff0031122b0578799f1f92"/>
    <w:p>
      <w:pPr>
        <w:pStyle w:val="Heading3"/>
        <w:jc w:val="left"/>
        <w:keepNext/>
        <w:keepLines/>
      </w:pPr>
      <w:r>
        <w:t xml:space="preserve">3.1 Validation history and escalation of claim scope</w:t>
      </w:r>
    </w:p>
    <w:p>
      <w:pPr>
        <w:pStyle w:val="FirstParagraph"/>
      </w:pPr>
      <w:r>
        <w:t xml:space="preserve">Publication history does not decide mathematics, and this subsection is not a credential argument. It records the validation status accompanying a visible expansion in the scope of public claims. The last clearly verifiable peer-reviewed journal article we located under the relevant author identity is a 2016 online publication / 2017 issue coauthorship in</w:t>
      </w:r>
      <w:r>
        <w:t xml:space="preserve"> </w:t>
      </w:r>
      <w:r>
        <w:rPr>
          <w:i/>
          <w:iCs/>
        </w:rPr>
        <w:t xml:space="preserve">Monthly Notices of the Royal Astronomical Society</w:t>
      </w:r>
      <w:r>
        <w:t xml:space="preserve"> </w:t>
      </w:r>
      <w:r>
        <w:t xml:space="preserve">[25]. Public records from 2025-2026 then include self-uploaded manuscripts or records marked forthcoming that claim a unified field theory, solutions of the Riemann Hypothesis and Navier-Stokes problem, enforcement of the Yang-Mills mass gap, experimental confirmation of the unified theory, and proof of Connes rigidity [1,26-30].</w:t>
      </w:r>
    </w:p>
    <w:p>
      <w:pPr>
        <w:pStyle w:val="BodyText"/>
      </w:pPr>
      <w:r>
        <w:t xml:space="preserve">As of the 7 August 2026 cutoff, we located no corresponding published peer-reviewed validation or independent specialist consensus establishing those recent claimed solutions. This is a dated, bounded search result, not a universal negative. A missing record, later publication, or specialist confirmation would require correction. It is not evidence that any particular equation is false. Its relevance is narrower: increasingly extraordinary-scope claims have been presented through manuscript records, rapid revisions, and AI endorsements while independent validation remains unresolved.</w:t>
      </w:r>
    </w:p>
    <w:tbl>
      <w:tblPr>
        <w:tblStyle w:val="Table"/>
        <w:tblW w:type="pct" w:w="5000"/>
        <w:jc w:val="center"/>
        <w:tblLayout w:type="fixed"/>
        <w:tblLook w:firstRow="1" w:lastRow="0" w:firstColumn="0" w:lastColumn="0" w:noHBand="0" w:noVBand="0" w:val="0020"/>
      </w:tblPr>
      <w:tblGrid>
        <w:gridCol w:w="1980"/>
        <w:gridCol w:w="1980"/>
        <w:gridCol w:w="1980"/>
        <w:gridCol w:w="1980"/>
      </w:tblGrid>
      <w:tr>
        <w:trPr>
          <w:tblHeader w:val="on"/>
          <w:cantSplit/>
        </w:trPr>
        <w:tc>
          <w:tcPr>
            <w:tcW w:w="1224"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Period</w:t>
            </w:r>
          </w:p>
        </w:tc>
        <w:tc>
          <w:tcPr>
            <w:tcW w:w="252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Public claim or output</w:t>
            </w:r>
          </w:p>
        </w:tc>
        <w:tc>
          <w:tcPr>
            <w:tcW w:w="3096"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Public status located at cutoff</w:t>
            </w:r>
          </w:p>
        </w:tc>
        <w:tc>
          <w:tcPr>
            <w:tcW w:w="2808"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Relevance here</w:t>
            </w:r>
          </w:p>
        </w:tc>
      </w:tr>
      <w:tr>
        <w:trPr>
          <w:cantSplit/>
        </w:trPr>
        <w:tc>
          <w:tcPr>
            <w:tcW w:w="122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2016-2017</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Obscured AGNs in galaxy mergers</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Peer-reviewed MNRAS coauthorship [25]</w:t>
            </w:r>
          </w:p>
        </w:tc>
        <w:tc>
          <w:tcPr>
            <w:tcW w:w="280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Establishes genuine prior journal publication</w:t>
            </w:r>
          </w:p>
        </w:tc>
      </w:tr>
      <w:tr>
        <w:trPr>
          <w:cantSplit/>
        </w:trPr>
        <w:tc>
          <w:tcPr>
            <w:tcW w:w="122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2025</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Topological unified field theory</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PhilPapers record marked forthcoming; self-uploaded versions [29]</w:t>
            </w:r>
          </w:p>
        </w:tc>
        <w:tc>
          <w:tcPr>
            <w:tcW w:w="280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Validation status remains distinct from publication claim</w:t>
            </w:r>
          </w:p>
        </w:tc>
      </w:tr>
      <w:tr>
        <w:trPr>
          <w:cantSplit/>
        </w:trPr>
        <w:tc>
          <w:tcPr>
            <w:tcW w:w="1224"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2025-2026</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Riemann Hypothesis, Navier-Stokes, Yang-Mills mass gap</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Manuscript records [26-28]</w:t>
            </w:r>
          </w:p>
        </w:tc>
        <w:tc>
          <w:tcPr>
            <w:tcW w:w="280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Multiple major open-problem claims without independent validation located</w:t>
            </w:r>
          </w:p>
        </w:tc>
      </w:tr>
      <w:tr>
        <w:trPr>
          <w:cantSplit/>
        </w:trPr>
        <w:tc>
          <w:tcPr>
            <w:tcW w:w="1224"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August 2026</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Connes rigidity proof and refutation of three counterexamples</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Fifty-version manuscript record; v47 full-audited and v50 targeted-audited here [1,4,30]</w:t>
            </w:r>
          </w:p>
        </w:tc>
        <w:tc>
          <w:tcPr>
            <w:tcW w:w="280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Present paper addresses arguments and validation signals, not credentials</w:t>
            </w:r>
          </w:p>
        </w:tc>
      </w:tr>
    </w:tbl>
    <w:bookmarkEnd w:id="34"/>
    <w:bookmarkStart w:id="35" w:name="Xcfc4799a20c0690775d664e5342f347f17f5f9c"/>
    <w:p>
      <w:pPr>
        <w:pStyle w:val="Heading3"/>
        <w:jc w:val="left"/>
        <w:keepNext/>
        <w:keepLines/>
      </w:pPr>
      <w:r>
        <w:t xml:space="preserve">3.2 What version 50 changes, and what it does not</w:t>
      </w:r>
    </w:p>
    <w:p>
      <w:pPr>
        <w:pStyle w:val="FirstParagraph"/>
      </w:pPr>
      <w:r>
        <w:t xml:space="preserve">Version 50 is not merely a metadata update. It adds a second epigraph jokingly attributed to</w:t>
      </w:r>
      <w:r>
        <w:t xml:space="preserve"> </w:t>
      </w:r>
      <w:r>
        <w:t xml:space="preserve">“</w:t>
      </w:r>
      <w:r>
        <w:t xml:space="preserve">Richard Feynman, probably,</w:t>
      </w:r>
      <w:r>
        <w:t xml:space="preserve">”</w:t>
      </w:r>
      <w:r>
        <w:t xml:space="preserve"> </w:t>
      </w:r>
      <w:r>
        <w:t xml:space="preserve">increases the manuscript from forty-two to forty-six pages, and adds Zhou’s concurrent counterexample as a third target. Its abstract now says that OpenAI, Anthropic, and Zhou are all invalid and that</w:t>
      </w:r>
      <w:r>
        <w:t xml:space="preserve"> </w:t>
      </w:r>
      <w:r>
        <w:t xml:space="preserve">“</w:t>
      </w:r>
      <w:r>
        <w:t xml:space="preserve">the same move proves the conjecture itself</w:t>
      </w:r>
      <w:r>
        <w:t xml:space="preserve">”</w:t>
      </w:r>
      <w:r>
        <w:t xml:space="preserve"> </w:t>
      </w:r>
      <w:r>
        <w:t xml:space="preserve">[30, pp. 1-3].</w:t>
      </w:r>
    </w:p>
    <w:p>
      <w:pPr>
        <w:pStyle w:val="BodyText"/>
      </w:pPr>
      <w:r>
        <w:t xml:space="preserve">The Zhou section argues that an injective</w:t>
      </w:r>
      <w:r>
        <w:t xml:space="preserve"> </w:t>
      </w:r>
      <m:oMath>
        <m:sSub>
          <m:e>
            <m:r>
              <m:t>δ</m:t>
            </m:r>
          </m:e>
          <m:sub>
            <m:r>
              <m:t>2</m:t>
            </m:r>
          </m:sub>
        </m:sSub>
      </m:oMath>
      <w:r>
        <w:t xml:space="preserve"> </w:t>
      </w:r>
      <w:r>
        <w:t xml:space="preserve">would preserve a unique maximal abelian normal subgroup and intertwine the two module structures, contradicting Zhou’s own non-isomorphism argument [30]. That is structurally dependent on the same prior step as the rest of the paper: Ioana must first produce the claimed group map from the factor isomorphism. Version 50 does not repair that step.</w:t>
      </w:r>
    </w:p>
    <w:p>
      <w:pPr>
        <w:pStyle w:val="BodyText"/>
      </w:pPr>
      <w:r>
        <w:t xml:space="preserve">The OpenAI claims are repeated rather than withdrawn. Version 50 still says the code constructs cocycle extensions but verifies ICC for semidirect products, still claims the</w:t>
      </w:r>
      <w:r>
        <w:t xml:space="preserve"> </w:t>
      </w:r>
      <m:oMath>
        <m:r>
          <m:t>B</m:t>
        </m:r>
      </m:oMath>
      <w:r>
        <w:t xml:space="preserve">-action is carry-dependent and vanishes in the</w:t>
      </w:r>
      <w:r>
        <w:t xml:space="preserve"> </w:t>
      </w:r>
      <w:r>
        <w:t xml:space="preserve">“</w:t>
      </w:r>
      <w:r>
        <w:t xml:space="preserve">zero-cocycle</w:t>
      </w:r>
      <w:r>
        <w:t xml:space="preserve">”</w:t>
      </w:r>
      <w:r>
        <w:t xml:space="preserve"> </w:t>
      </w:r>
      <w:r>
        <w:t xml:space="preserve">case, and still concludes that a central lattice and infinite abelian quotient defeat ICC and property (T) [30, pp. 6-11]. Those are the same source-level errors audited below.</w:t>
      </w:r>
    </w:p>
    <w:p>
      <w:pPr>
        <w:pStyle w:val="BodyText"/>
      </w:pPr>
      <w:r>
        <w:t xml:space="preserve">The operator-algebra response also becomes longer without changing the controlling hypothesis. Version 50 emphasizes that</w:t>
      </w:r>
      <w:r>
        <w:t xml:space="preserve"> </w:t>
      </w:r>
      <m:oMath>
        <m:r>
          <m:t>Θ</m:t>
        </m:r>
        <m:d>
          <m:dPr>
            <m:begChr m:val="("/>
            <m:endChr m:val=")"/>
            <m:sepChr m:val=""/>
            <m:grow/>
          </m:dPr>
          <m:e>
            <m:sSup>
              <m:e>
                <m:r>
                  <m:t>L</m:t>
                </m:r>
              </m:e>
              <m:sup>
                <m:r>
                  <m:rPr>
                    <m:sty m:val="p"/>
                  </m:rPr>
                  <m:t>∞</m:t>
                </m:r>
              </m:sup>
            </m:sSup>
            <m:d>
              <m:dPr>
                <m:begChr m:val="("/>
                <m:endChr m:val=")"/>
                <m:sepChr m:val=""/>
                <m:grow/>
              </m:dPr>
              <m:e>
                <m:r>
                  <m:t>X</m:t>
                </m:r>
              </m:e>
            </m:d>
          </m:e>
        </m:d>
        <m:r>
          <m:rPr>
            <m:sty m:val="p"/>
          </m:rPr>
          <m:t>=</m:t>
        </m:r>
        <m:sSup>
          <m:e>
            <m:r>
              <m:t>L</m:t>
            </m:r>
          </m:e>
          <m:sup>
            <m:r>
              <m:rPr>
                <m:sty m:val="p"/>
              </m:rPr>
              <m:t>∞</m:t>
            </m:r>
          </m:sup>
        </m:sSup>
        <m:d>
          <m:dPr>
            <m:begChr m:val="("/>
            <m:endChr m:val=")"/>
            <m:sepChr m:val=""/>
            <m:grow/>
          </m:dPr>
          <m:e>
            <m:r>
              <m:t>X</m:t>
            </m:r>
          </m:e>
        </m:d>
        <m:r>
          <m:rPr>
            <m:sty m:val="p"/>
          </m:rPr>
          <m:t>⊗</m:t>
        </m:r>
        <m:r>
          <m:t>1</m:t>
        </m:r>
      </m:oMath>
      <w:r>
        <w:t xml:space="preserve"> </w:t>
      </w:r>
      <w:r>
        <w:t xml:space="preserve">and argues that Cartan non-intertwining eliminates the degenerate case uniformly in</w:t>
      </w:r>
      <w:r>
        <w:t xml:space="preserve"> </w:t>
      </w:r>
      <m:oMath>
        <m:r>
          <m:t>Φ</m:t>
        </m:r>
      </m:oMath>
      <w:r>
        <w:t xml:space="preserve"> </w:t>
      </w:r>
      <w:r>
        <w:t xml:space="preserve">[30]. But Ioana’s condition is still on the full image</w:t>
      </w:r>
      <w:r>
        <w:t xml:space="preserve"> </w:t>
      </w:r>
      <m:oMath>
        <m:r>
          <m:t>Θ</m:t>
        </m:r>
        <m:d>
          <m:dPr>
            <m:begChr m:val="("/>
            <m:endChr m:val=")"/>
            <m:sepChr m:val=""/>
            <m:grow/>
          </m:dPr>
          <m:e>
            <m:sSub>
              <m:e>
                <m:r>
                  <m:t>A</m:t>
                </m:r>
              </m:e>
              <m:sub>
                <m:r>
                  <m:t>G</m:t>
                </m:r>
              </m:sub>
            </m:sSub>
          </m:e>
        </m:d>
      </m:oMath>
      <w:r>
        <w:t xml:space="preserve">, and the manuscript’s own formula still places that full image inside</w:t>
      </w:r>
      <w:r>
        <w:t xml:space="preserve"> </w:t>
      </w:r>
      <m:oMath>
        <m:sSub>
          <m:e>
            <m:r>
              <m:t>A</m:t>
            </m:r>
          </m:e>
          <m:sub>
            <m:r>
              <m:t>G</m:t>
            </m:r>
          </m:sub>
        </m:sSub>
        <m:acc>
          <m:accPr>
            <m:chr m:val="‾"/>
          </m:accPr>
          <m:e>
            <m:r>
              <m:rPr>
                <m:sty m:val="p"/>
              </m:rPr>
              <m:t>⊗</m:t>
            </m:r>
          </m:e>
        </m:acc>
        <m:r>
          <m:t>L</m:t>
        </m:r>
        <m:d>
          <m:dPr>
            <m:begChr m:val="("/>
            <m:endChr m:val=")"/>
            <m:sepChr m:val=""/>
            <m:grow/>
          </m:dPr>
          <m:e>
            <m:r>
              <m:t>H</m:t>
            </m:r>
          </m:e>
        </m:d>
      </m:oMath>
      <w:r>
        <w:t xml:space="preserve">. More words around the Cartan do not remove full-image containment.</w:t>
      </w:r>
    </w:p>
    <w:p>
      <w:pPr>
        <w:pStyle w:val="BodyText"/>
      </w:pPr>
      <w:r>
        <w:t xml:space="preserve">Finally, the appendix remains candidly conditional. It calls Part B a</w:t>
      </w:r>
      <w:r>
        <w:t xml:space="preserve"> </w:t>
      </w:r>
      <w:r>
        <w:t xml:space="preserve">“</w:t>
      </w:r>
      <w:r>
        <w:t xml:space="preserve">proof skeleton,</w:t>
      </w:r>
      <w:r>
        <w:t xml:space="preserve">”</w:t>
      </w:r>
      <w:r>
        <w:t xml:space="preserve"> </w:t>
      </w:r>
      <w:r>
        <w:t xml:space="preserve">says every analytic input is an axiom, and states:</w:t>
      </w:r>
      <w:r>
        <w:t xml:space="preserve"> </w:t>
      </w:r>
      <w:r>
        <w:t xml:space="preserve">“</w:t>
      </w:r>
      <w:r>
        <w:t xml:space="preserve">No operator algebra is verified</w:t>
      </w:r>
      <w:r>
        <w:t xml:space="preserve">”</w:t>
      </w:r>
      <w:r>
        <w:t xml:space="preserve"> </w:t>
      </w:r>
      <w:r>
        <w:t xml:space="preserve">[30, pp. 40-46]. The declared axioms still include the elimination of the degenerate case and the injectivity and surjectivity of the group map. Version 50 therefore enlarges the claim surface while preserving the same proof boundary.</w:t>
      </w:r>
    </w:p>
    <w:p>
      <w:pPr>
        <w:pStyle w:val="BodyText"/>
      </w:pPr>
      <w:r>
        <w:t xml:space="preserve">A separate provenance change is also notable. Version 17 expressly said Claude produced the Lean appendices [3]. Searches of version 50 found no corresponding Claude, Fable, Grok, or AI-assistance disclosure. Omission in a later version is not proof of concealment, but it makes the public provenance record less, not more, transparent.</w:t>
      </w:r>
    </w:p>
    <w:bookmarkEnd w:id="35"/>
    <w:bookmarkEnd w:id="36"/>
    <w:bookmarkStart w:id="42" w:name="part-i-fails-against-the-openai-source"/>
    <w:p>
      <w:pPr>
        <w:pStyle w:val="Heading2"/>
        <w:jc w:val="left"/>
        <w:keepNext/>
        <w:keepLines/>
      </w:pPr>
      <w:r>
        <w:t xml:space="preserve">4. Part I fails against the OpenAI source</w:t>
      </w:r>
    </w:p>
    <w:bookmarkStart w:id="37" w:name="X6f878ade21692b74140bc63798d96288bd31f3a"/>
    <w:p>
      <w:pPr>
        <w:pStyle w:val="Heading3"/>
        <w:jc w:val="left"/>
        <w:keepNext/>
        <w:keepLines/>
      </w:pPr>
      <w:r>
        <w:t xml:space="preserve">4.1 The final groups are literal semidirect products</w:t>
      </w:r>
    </w:p>
    <w:p>
      <w:pPr>
        <w:pStyle w:val="FirstParagraph"/>
      </w:pPr>
      <w:r>
        <w:t xml:space="preserve">The OpenAI source is not ambiguous at the disputed top level. It defines:</w:t>
      </w:r>
    </w:p>
    <w:p>
      <w:pPr>
        <w:pStyle w:val="SourceCode"/>
        <w:spacing w:line="240" w:lineRule="auto" w:before="60" w:after="80"/>
        <w:ind w:right="144"/>
        <w:jc w:val="left"/>
        <w:shd w:fill="F3F1F6"/>
        <w:pBdr>
          <w:left w:val="single" w:sz="14" w:space="7" w:color="563778"/>
        </w:pBdr>
        <w:keepLines/>
      </w:pPr>
      <w:r>
        <w:rPr>
          <w:rStyle w:val="VerbatimChar"/>
          <w:rFonts w:ascii="Liberation Mono" w:hAnsi="Liberation Mono" w:eastAsia="Liberation Mono"/>
          <w:sz w:val="15"/>
        </w:rPr>
        <w:t xml:space="preserve">abbrev Lambda := SemidirectProduct (Multiplicative D) K kDAction</w:t>
      </w:r>
      <w:r>
        <w:rPr>
          <w:rFonts w:ascii="Liberation Mono" w:hAnsi="Liberation Mono" w:eastAsia="Liberation Mono"/>
          <w:sz w:val="15"/>
        </w:rPr>
        <w:br/>
      </w:r>
      <w:r>
        <w:rPr>
          <w:rFonts w:ascii="Liberation Mono" w:hAnsi="Liberation Mono" w:eastAsia="Liberation Mono"/>
          <w:sz w:val="15"/>
        </w:rPr>
        <w:br/>
      </w:r>
      <w:r>
        <w:rPr>
          <w:rStyle w:val="VerbatimChar"/>
          <w:rFonts w:ascii="Liberation Mono" w:hAnsi="Liberation Mono" w:eastAsia="Liberation Mono"/>
          <w:sz w:val="15"/>
        </w:rPr>
        <w:t xml:space="preserve">abbrev Gamma (n : Nat) :=</w:t>
      </w:r>
      <w:r>
        <w:rPr>
          <w:rFonts w:ascii="Liberation Mono" w:hAnsi="Liberation Mono" w:eastAsia="Liberation Mono"/>
          <w:sz w:val="15"/>
        </w:rPr>
        <w:br/>
      </w:r>
      <w:r>
        <w:rPr>
          <w:rStyle w:val="VerbatimChar"/>
          <w:rFonts w:ascii="Liberation Mono" w:hAnsi="Liberation Mono" w:eastAsia="Liberation Mono"/>
          <w:sz w:val="15"/>
        </w:rPr>
        <w:t xml:space="preserve">  SemidirectProduct (Multiplicative (E n)) K (kEAction n)</w:t>
      </w:r>
    </w:p>
    <w:p>
      <w:pPr>
        <w:pStyle w:val="FirstParagraph"/>
      </w:pPr>
      <w:r>
        <w:t xml:space="preserve">Thus</w:t>
      </w:r>
    </w:p>
    <w:p>
      <w:pPr>
        <w:pStyle w:val="BodyText"/>
      </w:pPr>
      <m:oMathPara>
        <m:oMathParaPr>
          <m:jc m:val="center"/>
        </m:oMathParaPr>
        <m:oMath>
          <m:r>
            <m:t>Λ</m:t>
          </m:r>
          <m:r>
            <m:rPr>
              <m:sty m:val="p"/>
            </m:rPr>
            <m:t>=</m:t>
          </m:r>
          <m:r>
            <m:t>D</m:t>
          </m:r>
          <m:r>
            <m:rPr>
              <m:sty m:val="p"/>
            </m:rPr>
            <m:t>⋊</m:t>
          </m:r>
          <m:r>
            <m:t>K</m:t>
          </m:r>
          <m:r>
            <m:rPr>
              <m:sty m:val="p"/>
            </m:rPr>
            <m:t>,</m:t>
          </m:r>
          <m:r>
            <m:t>  </m:t>
          </m:r>
          <m:sSub>
            <m:e>
              <m:r>
                <m:t>Γ</m:t>
              </m:r>
            </m:e>
            <m:sub>
              <m:r>
                <m:t>n</m:t>
              </m:r>
            </m:sub>
          </m:sSub>
          <m:r>
            <m:rPr>
              <m:sty m:val="p"/>
            </m:rPr>
            <m:t>=</m:t>
          </m:r>
          <m:sSub>
            <m:e>
              <m:r>
                <m:t>E</m:t>
              </m:r>
            </m:e>
            <m:sub>
              <m:r>
                <m:t>n</m:t>
              </m:r>
            </m:sub>
          </m:sSub>
          <m:r>
            <m:rPr>
              <m:sty m:val="p"/>
            </m:rPr>
            <m:t>⋊</m:t>
          </m:r>
          <m:r>
            <m:t>K</m:t>
          </m:r>
          <m:r>
            <m:rPr>
              <m:sty m:val="p"/>
            </m:rPr>
            <m:t>.</m:t>
          </m:r>
        </m:oMath>
      </m:oMathPara>
    </w:p>
    <w:p>
      <w:pPr>
        <w:pStyle w:val="FirstParagraph"/>
      </w:pPr>
      <w:r>
        <w:t xml:space="preserve">The</w:t>
      </w:r>
      <w:r>
        <w:t xml:space="preserve"> </w:t>
      </w:r>
      <w:r>
        <w:rPr>
          <w:rStyle w:val="VerbatimChar"/>
        </w:rPr>
        <w:t xml:space="preserve">shiftedCarry</w:t>
      </w:r>
      <w:r>
        <w:t xml:space="preserve"> </w:t>
      </w:r>
      <w:r>
        <w:t xml:space="preserve">cocycle occurs one level lower, in the construction of a compact abelian carry group. Its Pontryagin dual becomes the abelian kernel</w:t>
      </w:r>
      <w:r>
        <w:t xml:space="preserve"> </w:t>
      </w:r>
      <m:oMath>
        <m:sSub>
          <m:e>
            <m:r>
              <m:t>E</m:t>
            </m:r>
          </m:e>
          <m:sub>
            <m:r>
              <m:t>n</m:t>
            </m:r>
          </m:sub>
        </m:sSub>
      </m:oMath>
      <w:r>
        <w:t xml:space="preserve">. The top-level group remains a semidirect product by</w:t>
      </w:r>
      <w:r>
        <w:t xml:space="preserve"> </w:t>
      </w:r>
      <m:oMath>
        <m:r>
          <m:t>K</m:t>
        </m:r>
      </m:oMath>
      <w:r>
        <w:t xml:space="preserve"> </w:t>
      </w:r>
      <w:r>
        <w:t xml:space="preserve">[5,6]. Nielsen’s v47 source table partly records this correctly, listing</w:t>
      </w:r>
      <w:r>
        <w:t xml:space="preserve"> </w:t>
      </w:r>
      <w:r>
        <w:rPr>
          <w:rStyle w:val="VerbatimChar"/>
        </w:rPr>
        <w:t xml:space="preserve">lambdaGroup (D ⋊ K)</w:t>
      </w:r>
      <w:r>
        <w:t xml:space="preserve"> </w:t>
      </w:r>
      <w:r>
        <w:t xml:space="preserve">and</w:t>
      </w:r>
      <w:r>
        <w:t xml:space="preserve"> </w:t>
      </w:r>
      <w:r>
        <w:rPr>
          <w:rStyle w:val="VerbatimChar"/>
        </w:rPr>
        <w:t xml:space="preserve">gammaGroup n (E(n) ⋊ K)</w:t>
      </w:r>
      <w:r>
        <w:t xml:space="preserve">, but her surrounding argument repeatedly treats the carry cocycle as though it were the extension datum between the abelian kernel and</w:t>
      </w:r>
      <w:r>
        <w:t xml:space="preserve"> </w:t>
      </w:r>
      <m:oMath>
        <m:r>
          <m:t>K</m:t>
        </m:r>
      </m:oMath>
      <w:r>
        <w:t xml:space="preserve"> </w:t>
      </w:r>
      <w:r>
        <w:t xml:space="preserve">[1, pp. 7-10]. It is not.</w:t>
      </w:r>
    </w:p>
    <w:p>
      <w:pPr>
        <w:pStyle w:val="BodyText"/>
      </w:pPr>
      <w:r>
        <w:t xml:space="preserve">This level distinction matters. A cocycle can define the internal law of an abelian kernel without turning the final semidirect product into a different top-level cocycle extension. Centrality inside the kernel also does not imply centrality in the full semidirect product. The full center depends on the</w:t>
      </w:r>
      <w:r>
        <w:t xml:space="preserve"> </w:t>
      </w:r>
      <m:oMath>
        <m:r>
          <m:t>K</m:t>
        </m:r>
      </m:oMath>
      <w:r>
        <w:t xml:space="preserve">-action. The OpenAI source contains formal derivations of infinite</w:t>
      </w:r>
      <w:r>
        <w:t xml:space="preserve"> </w:t>
      </w:r>
      <m:oMath>
        <m:r>
          <m:t>K</m:t>
        </m:r>
      </m:oMath>
      <w:r>
        <w:t xml:space="preserve">-orbits for nonzero elements before applying a generic semidirect-product ICC theorem [6]. The pinned local build compiled these exact final objects,</w:t>
      </w:r>
      <w:r>
        <w:t xml:space="preserve"> </w:t>
      </w:r>
      <w:r>
        <w:rPr>
          <w:rStyle w:val="VerbatimChar"/>
        </w:rPr>
        <w:t xml:space="preserve">#print axioms</w:t>
      </w:r>
      <w:r>
        <w:t xml:space="preserve"> </w:t>
      </w:r>
      <w:r>
        <w:t xml:space="preserve">found only the three standard foundational axioms in the relevant dependency chains, and Comparator plus nanoda accepted the target proof terms, subject to the disclosed sandbox caveat [23].</w:t>
      </w:r>
    </w:p>
    <w:bookmarkEnd w:id="37"/>
    <w:bookmarkStart w:id="38" w:name="n0-is-not-the-zero-cocycle"/>
    <w:p>
      <w:pPr>
        <w:pStyle w:val="Heading3"/>
        <w:jc w:val="left"/>
        <w:keepNext/>
        <w:keepLines/>
      </w:pPr>
      <w:r>
        <w:t xml:space="preserve">4.2</w:t>
      </w:r>
      <w:r>
        <w:t xml:space="preserve"> </w:t>
      </w:r>
      <m:oMath>
        <m:r>
          <m:t>n</m:t>
        </m:r>
        <m:r>
          <m:rPr>
            <m:sty m:val="p"/>
          </m:rPr>
          <m:t>=</m:t>
        </m:r>
        <m:r>
          <m:t>0</m:t>
        </m:r>
      </m:oMath>
      <w:r>
        <w:t xml:space="preserve"> </w:t>
      </w:r>
      <w:r>
        <w:t xml:space="preserve">is not the zero cocycle</w:t>
      </w:r>
    </w:p>
    <w:p>
      <w:pPr>
        <w:pStyle w:val="FirstParagraph"/>
      </w:pPr>
      <w:r>
        <w:t xml:space="preserve">The OpenAI code defines</w:t>
      </w:r>
    </w:p>
    <w:p>
      <w:pPr>
        <w:pStyle w:val="SourceCode"/>
        <w:spacing w:line="240" w:lineRule="auto" w:before="60" w:after="80"/>
        <w:ind w:right="144"/>
        <w:jc w:val="left"/>
        <w:shd w:fill="F3F1F6"/>
        <w:pBdr>
          <w:left w:val="single" w:sz="14" w:space="7" w:color="563778"/>
        </w:pBdr>
        <w:keepLines/>
      </w:pPr>
      <w:r>
        <w:rPr>
          <w:rStyle w:val="VerbatimChar"/>
          <w:rFonts w:ascii="Liberation Mono" w:hAnsi="Liberation Mono" w:eastAsia="Liberation Mono"/>
          <w:sz w:val="15"/>
        </w:rPr>
        <w:t xml:space="preserve">def shiftedCarry (n : Nat) (l l' : X) : Y :=</w:t>
      </w:r>
      <w:r>
        <w:rPr>
          <w:rFonts w:ascii="Liberation Mono" w:hAnsi="Liberation Mono" w:eastAsia="Liberation Mono"/>
          <w:sz w:val="15"/>
        </w:rPr>
        <w:br/>
      </w:r>
      <w:r>
        <w:rPr>
          <w:rStyle w:val="VerbatimChar"/>
          <w:rFonts w:ascii="Liberation Mono" w:hAnsi="Liberation Mono" w:eastAsia="Liberation Mono"/>
          <w:sz w:val="15"/>
        </w:rPr>
        <w:t xml:space="preserve">  carry (shift n l) (shift n l')</w:t>
      </w:r>
      <w:r>
        <w:rPr>
          <w:rFonts w:ascii="Liberation Mono" w:hAnsi="Liberation Mono" w:eastAsia="Liberation Mono"/>
          <w:sz w:val="15"/>
        </w:rPr>
        <w:br/>
      </w:r>
      <w:r>
        <w:rPr>
          <w:rFonts w:ascii="Liberation Mono" w:hAnsi="Liberation Mono" w:eastAsia="Liberation Mono"/>
          <w:sz w:val="15"/>
        </w:rPr>
        <w:br/>
      </w:r>
      <w:r>
        <w:rPr>
          <w:rStyle w:val="VerbatimChar"/>
          <w:rFonts w:ascii="Liberation Mono" w:hAnsi="Liberation Mono" w:eastAsia="Liberation Mono"/>
          <w:sz w:val="15"/>
        </w:rPr>
        <w:t xml:space="preserve">@[simp] theorem shift_zero_apply (l : X) : shift 0 l = l</w:t>
      </w:r>
    </w:p>
    <w:p>
      <w:pPr>
        <w:pStyle w:val="FirstParagraph"/>
      </w:pPr>
      <w:r>
        <w:t xml:space="preserve">Therefore</w:t>
      </w:r>
    </w:p>
    <w:p>
      <w:pPr>
        <w:pStyle w:val="BodyText"/>
      </w:pPr>
      <m:oMathPara>
        <m:oMathParaPr>
          <m:jc m:val="center"/>
        </m:oMathParaPr>
        <m:oMath>
          <m:r>
            <m:rPr>
              <m:sty m:val="p"/>
            </m:rPr>
            <m:t>shiftedCarry</m:t>
          </m:r>
          <m:d>
            <m:dPr>
              <m:begChr m:val="("/>
              <m:endChr m:val=")"/>
              <m:sepChr m:val=""/>
              <m:grow/>
            </m:dPr>
            <m:e>
              <m:r>
                <m:t>0</m:t>
              </m:r>
              <m:r>
                <m:rPr>
                  <m:sty m:val="p"/>
                </m:rPr>
                <m:t>,</m:t>
              </m:r>
              <m:r>
                <m:rPr>
                  <m:sty m:val="p"/>
                </m:rPr>
                <m:t>ℓ</m:t>
              </m:r>
              <m:r>
                <m:rPr>
                  <m:sty m:val="p"/>
                </m:rPr>
                <m:t>,</m:t>
              </m:r>
              <m:r>
                <m:rPr>
                  <m:sty m:val="p"/>
                </m:rPr>
                <m:t>ℓ</m:t>
              </m:r>
              <m:r>
                <m:rPr>
                  <m:sty m:val="p"/>
                </m:rPr>
                <m:t>′</m:t>
              </m:r>
            </m:e>
          </m:d>
          <m:r>
            <m:rPr>
              <m:sty m:val="p"/>
            </m:rPr>
            <m:t>=</m:t>
          </m:r>
          <m:r>
            <m:rPr>
              <m:sty m:val="p"/>
            </m:rPr>
            <m:t>carry</m:t>
          </m:r>
          <m:d>
            <m:dPr>
              <m:begChr m:val="("/>
              <m:endChr m:val=")"/>
              <m:sepChr m:val=""/>
              <m:grow/>
            </m:dPr>
            <m:e>
              <m:r>
                <m:rPr>
                  <m:sty m:val="p"/>
                </m:rPr>
                <m:t>ℓ</m:t>
              </m:r>
              <m:r>
                <m:rPr>
                  <m:sty m:val="p"/>
                </m:rPr>
                <m:t>,</m:t>
              </m:r>
              <m:r>
                <m:rPr>
                  <m:sty m:val="p"/>
                </m:rPr>
                <m:t>ℓ</m:t>
              </m:r>
              <m:r>
                <m:rPr>
                  <m:sty m:val="p"/>
                </m:rPr>
                <m:t>′</m:t>
              </m:r>
            </m:e>
          </m:d>
          <m:r>
            <m:rPr>
              <m:sty m:val="p"/>
            </m:rPr>
            <m:t>,</m:t>
          </m:r>
        </m:oMath>
      </m:oMathPara>
    </w:p>
    <w:p>
      <w:pPr>
        <w:pStyle w:val="FirstParagraph"/>
      </w:pPr>
      <w:r>
        <w:t xml:space="preserve">which is generally nonzero. The index</w:t>
      </w:r>
      <w:r>
        <w:t xml:space="preserve"> </w:t>
      </w:r>
      <m:oMath>
        <m:r>
          <m:t>n</m:t>
        </m:r>
        <m:r>
          <m:rPr>
            <m:sty m:val="p"/>
          </m:rPr>
          <m:t>=</m:t>
        </m:r>
        <m:r>
          <m:t>0</m:t>
        </m:r>
      </m:oMath>
      <w:r>
        <w:t xml:space="preserve"> </w:t>
      </w:r>
      <w:r>
        <w:t xml:space="preserve">means that no shift is applied before evaluating the original carry. It does not mean that the carry cocycle is replaced by the zero map.</w:t>
      </w:r>
    </w:p>
    <w:p>
      <w:pPr>
        <w:pStyle w:val="BodyText"/>
      </w:pPr>
      <w:r>
        <w:t xml:space="preserve">This alone defeats the phrase</w:t>
      </w:r>
      <w:r>
        <w:t xml:space="preserve"> </w:t>
      </w:r>
      <w:r>
        <w:t xml:space="preserve">“</w:t>
      </w:r>
      <w:r>
        <w:t xml:space="preserve">zero-cocycle group</w:t>
      </w:r>
      <w:r>
        <w:t xml:space="preserve">”</w:t>
      </w:r>
      <w:r>
        <w:t xml:space="preserve"> </w:t>
      </w:r>
      <w:r>
        <w:t xml:space="preserve">when it is applied to OpenAI’s</w:t>
      </w:r>
      <w:r>
        <w:t xml:space="preserve"> </w:t>
      </w:r>
      <m:oMath>
        <m:r>
          <m:t>n</m:t>
        </m:r>
        <m:r>
          <m:rPr>
            <m:sty m:val="p"/>
          </m:rPr>
          <m:t>=</m:t>
        </m:r>
        <m:r>
          <m:t>0</m:t>
        </m:r>
      </m:oMath>
      <w:r>
        <w:t xml:space="preserve"> </w:t>
      </w:r>
      <w:r>
        <w:t xml:space="preserve">object. The relevant factor and property-(T) claims concern the actual group object, not a rhetorically substituted direct product [20,21]. A direct product obtained by setting both action and cocycle to zero is an abstractly valid object, but it is not the group that OpenAI calls</w:t>
      </w:r>
      <w:r>
        <w:t xml:space="preserve"> </w:t>
      </w:r>
      <m:oMath>
        <m:sSub>
          <m:e>
            <m:r>
              <m:t>Γ</m:t>
            </m:r>
          </m:e>
          <m:sub>
            <m:r>
              <m:t>0</m:t>
            </m:r>
          </m:sub>
        </m:sSub>
      </m:oMath>
      <w:r>
        <w:t xml:space="preserve">. Nielsen’s center and infinite-abelian-quotient arguments prove true statements about a direct product that the source does not construct.</w:t>
      </w:r>
    </w:p>
    <w:bookmarkEnd w:id="38"/>
    <w:bookmarkStart w:id="39" w:name="the-k-action-on-b-is-not-carry-dependent"/>
    <w:p>
      <w:pPr>
        <w:pStyle w:val="Heading3"/>
        <w:jc w:val="left"/>
        <w:keepNext/>
        <w:keepLines/>
      </w:pPr>
      <w:r>
        <w:t xml:space="preserve">4.3 The</w:t>
      </w:r>
      <w:r>
        <w:t xml:space="preserve"> </w:t>
      </w:r>
      <m:oMath>
        <m:r>
          <m:t>K</m:t>
        </m:r>
      </m:oMath>
      <w:r>
        <w:t xml:space="preserve">-action on</w:t>
      </w:r>
      <w:r>
        <w:t xml:space="preserve"> </w:t>
      </w:r>
      <m:oMath>
        <m:r>
          <m:t>B</m:t>
        </m:r>
      </m:oMath>
      <w:r>
        <w:t xml:space="preserve"> </w:t>
      </w:r>
      <w:r>
        <w:t xml:space="preserve">is not carry-dependent</w:t>
      </w:r>
    </w:p>
    <w:p>
      <w:pPr>
        <w:pStyle w:val="FirstParagraph"/>
      </w:pPr>
      <w:r>
        <w:t xml:space="preserve">Version 47 claims that the carry contributes to the</w:t>
      </w:r>
      <w:r>
        <w:t xml:space="preserve"> </w:t>
      </w:r>
      <m:oMath>
        <m:r>
          <m:t>K</m:t>
        </m:r>
      </m:oMath>
      <w:r>
        <w:t xml:space="preserve">-action on the</w:t>
      </w:r>
      <w:r>
        <w:t xml:space="preserve"> </w:t>
      </w:r>
      <m:oMath>
        <m:r>
          <m:t>B</m:t>
        </m:r>
      </m:oMath>
      <w:r>
        <w:t xml:space="preserve"> </w:t>
      </w:r>
      <w:r>
        <w:t xml:space="preserve">component, and that at zero carry the</w:t>
      </w:r>
      <w:r>
        <w:t xml:space="preserve"> </w:t>
      </w:r>
      <m:oMath>
        <m:r>
          <m:t>B</m:t>
        </m:r>
      </m:oMath>
      <w:r>
        <w:t xml:space="preserve">-orbits collapse to singletons [1, pp. 6-9]. The source says otherwise. The action chain is</w:t>
      </w:r>
    </w:p>
    <w:p>
      <w:pPr>
        <w:pStyle w:val="BodyText"/>
      </w:pPr>
      <m:oMathPara>
        <m:oMathParaPr>
          <m:jc m:val="center"/>
        </m:oMathParaPr>
        <m:oMath>
          <m:r>
            <m:t>K</m:t>
          </m:r>
          <m:r>
            <m:rPr>
              <m:sty m:val="p"/>
            </m:rPr>
            <m:t>↷</m:t>
          </m:r>
          <m:r>
            <m:t>V</m:t>
          </m:r>
          <m:r>
            <m:rPr>
              <m:sty m:val="p"/>
            </m:rPr>
            <m:t>→</m:t>
          </m:r>
          <m:r>
            <m:t>K</m:t>
          </m:r>
          <m:r>
            <m:rPr>
              <m:sty m:val="p"/>
            </m:rPr>
            <m:t>↷</m:t>
          </m:r>
          <m:r>
            <m:t>V</m:t>
          </m:r>
          <m:r>
            <m:rPr>
              <m:sty m:val="p"/>
            </m:rPr>
            <m:t>⊗</m:t>
          </m:r>
          <m:r>
            <m:t>V</m:t>
          </m:r>
          <m:r>
            <m:rPr>
              <m:sty m:val="p"/>
            </m:rPr>
            <m:t>→</m:t>
          </m:r>
          <m:r>
            <m:t>K</m:t>
          </m:r>
          <m:r>
            <m:rPr>
              <m:sty m:val="p"/>
            </m:rPr>
            <m:t>↷</m:t>
          </m:r>
          <m:r>
            <m:t>B</m:t>
          </m:r>
          <m:r>
            <m:rPr>
              <m:sty m:val="p"/>
            </m:rPr>
            <m:t>→</m:t>
          </m:r>
          <m:r>
            <m:t>K</m:t>
          </m:r>
          <m:r>
            <m:rPr>
              <m:sty m:val="p"/>
            </m:rPr>
            <m:t>↷</m:t>
          </m:r>
          <m:r>
            <m:t>D</m:t>
          </m:r>
          <m:r>
            <m:rPr>
              <m:sty m:val="p"/>
            </m:rPr>
            <m:t>=</m:t>
          </m:r>
          <m:r>
            <m:t>V</m:t>
          </m:r>
          <m:r>
            <m:rPr>
              <m:sty m:val="p"/>
            </m:rPr>
            <m:t>×</m:t>
          </m:r>
          <m:r>
            <m:t>B</m:t>
          </m:r>
          <m:r>
            <m:rPr>
              <m:sty m:val="p"/>
            </m:rPr>
            <m:t>.</m:t>
          </m:r>
        </m:oMath>
      </m:oMathPara>
    </w:p>
    <w:p>
      <w:pPr>
        <w:pStyle w:val="FirstParagraph"/>
      </w:pPr>
      <w:r>
        <w:t xml:space="preserve">In code,</w:t>
      </w:r>
      <w:r>
        <w:t xml:space="preserve"> </w:t>
      </w:r>
      <w:r>
        <w:rPr>
          <w:rStyle w:val="VerbatimChar"/>
        </w:rPr>
        <w:t xml:space="preserve">kDividedSquareLinear</w:t>
      </w:r>
      <w:r>
        <w:t xml:space="preserve"> </w:t>
      </w:r>
      <w:r>
        <w:t xml:space="preserve">is the restriction of</w:t>
      </w:r>
      <w:r>
        <w:t xml:space="preserve"> </w:t>
      </w:r>
      <w:r>
        <w:rPr>
          <w:rStyle w:val="VerbatimChar"/>
        </w:rPr>
        <w:t xml:space="preserve">kTensorLinear</w:t>
      </w:r>
      <w:r>
        <w:t xml:space="preserve"> </w:t>
      </w:r>
      <w:r>
        <w:t xml:space="preserve">to the invariant submodule</w:t>
      </w:r>
      <w:r>
        <w:t xml:space="preserve"> </w:t>
      </w:r>
      <m:oMath>
        <m:r>
          <m:t>B</m:t>
        </m:r>
      </m:oMath>
      <w:r>
        <w:t xml:space="preserve">, and</w:t>
      </w:r>
      <w:r>
        <w:t xml:space="preserve"> </w:t>
      </w:r>
      <w:r>
        <w:rPr>
          <w:rStyle w:val="VerbatimChar"/>
        </w:rPr>
        <w:t xml:space="preserve">kDLinear</w:t>
      </w:r>
      <w:r>
        <w:t xml:space="preserve"> </w:t>
      </w:r>
      <w:r>
        <w:t xml:space="preserve">is the product of the action on</w:t>
      </w:r>
      <w:r>
        <w:t xml:space="preserve"> </w:t>
      </w:r>
      <m:oMath>
        <m:r>
          <m:t>V</m:t>
        </m:r>
      </m:oMath>
      <w:r>
        <w:t xml:space="preserve"> </w:t>
      </w:r>
      <w:r>
        <w:t xml:space="preserve">and this restricted tensor action. No carry term appears in</w:t>
      </w:r>
      <w:r>
        <w:t xml:space="preserve"> </w:t>
      </w:r>
      <w:r>
        <w:rPr>
          <w:rStyle w:val="VerbatimChar"/>
        </w:rPr>
        <w:t xml:space="preserve">kDAction</w:t>
      </w:r>
      <w:r>
        <w:t xml:space="preserve"> </w:t>
      </w:r>
      <w:r>
        <w:t xml:space="preserve">[6].</w:t>
      </w:r>
    </w:p>
    <w:p>
      <w:pPr>
        <w:pStyle w:val="BodyText"/>
      </w:pPr>
      <w:r>
        <w:t xml:space="preserve">This is not a subtle dispute over interpretation. The premise required by the centrality argument, that the</w:t>
      </w:r>
      <w:r>
        <w:t xml:space="preserve"> </w:t>
      </w:r>
      <m:oMath>
        <m:r>
          <m:t>B</m:t>
        </m:r>
      </m:oMath>
      <w:r>
        <w:t xml:space="preserve">-action vanishes when</w:t>
      </w:r>
      <w:r>
        <w:t xml:space="preserve"> </w:t>
      </w:r>
      <m:oMath>
        <m:r>
          <m:t>n</m:t>
        </m:r>
        <m:r>
          <m:rPr>
            <m:sty m:val="p"/>
          </m:rPr>
          <m:t>=</m:t>
        </m:r>
        <m:r>
          <m:t>0</m:t>
        </m:r>
      </m:oMath>
      <w:r>
        <w:t xml:space="preserve">, is absent from the source. The source instead contains theorem chains for infinite orbits on</w:t>
      </w:r>
      <w:r>
        <w:t xml:space="preserve"> </w:t>
      </w:r>
      <m:oMath>
        <m:r>
          <m:t>V</m:t>
        </m:r>
      </m:oMath>
      <w:r>
        <w:t xml:space="preserve">, on the tensor module, on</w:t>
      </w:r>
      <w:r>
        <w:t xml:space="preserve"> </w:t>
      </w:r>
      <m:oMath>
        <m:r>
          <m:t>B</m:t>
        </m:r>
      </m:oMath>
      <w:r>
        <w:t xml:space="preserve">, on</w:t>
      </w:r>
      <w:r>
        <w:t xml:space="preserve"> </w:t>
      </w:r>
      <m:oMath>
        <m:r>
          <m:t>D</m:t>
        </m:r>
      </m:oMath>
      <w:r>
        <w:t xml:space="preserve">, and through the exact sequence for</w:t>
      </w:r>
      <w:r>
        <w:t xml:space="preserve"> </w:t>
      </w:r>
      <m:oMath>
        <m:sSub>
          <m:e>
            <m:r>
              <m:t>E</m:t>
            </m:r>
          </m:e>
          <m:sub>
            <m:r>
              <m:t>n</m:t>
            </m:r>
          </m:sub>
        </m:sSub>
      </m:oMath>
      <w:r>
        <w:t xml:space="preserve">, followed by</w:t>
      </w:r>
      <w:r>
        <w:t xml:space="preserve"> </w:t>
      </w:r>
      <w:r>
        <w:rPr>
          <w:rStyle w:val="VerbatimChar"/>
        </w:rPr>
        <w:t xml:space="preserve">semidirect_isICC</w:t>
      </w:r>
      <w:r>
        <w:t xml:space="preserve"> </w:t>
      </w:r>
      <w:r>
        <w:t xml:space="preserve">on the actual semidirect products [5,6]. This release candidate reports the independent local build and checker result rather than treating static inspection as kernel checking.</w:t>
      </w:r>
    </w:p>
    <w:bookmarkEnd w:id="39"/>
    <w:bookmarkStart w:id="40" w:name="Xefb92d77106a8b1ba9108605dce7494a71ac3fd"/>
    <w:p>
      <w:pPr>
        <w:pStyle w:val="Heading3"/>
        <w:jc w:val="left"/>
        <w:keepNext/>
        <w:keepLines/>
      </w:pPr>
      <w:r>
        <w:t xml:space="preserve">4.4 The OpenAI and Anthropic groups are not the same construction</w:t>
      </w:r>
    </w:p>
    <w:p>
      <w:pPr>
        <w:pStyle w:val="FirstParagraph"/>
      </w:pPr>
      <w:r>
        <w:t xml:space="preserve">Nielsen v47 says the OpenAI formalization is a Lean encoding of the Anthropic groups [1, pp. 1, 4, 12]. The primary sources contradict that identification.</w:t>
      </w:r>
    </w:p>
    <w:tbl>
      <w:tblPr>
        <w:tblStyle w:val="Table"/>
        <w:tblW w:type="pct" w:w="5000"/>
        <w:jc w:val="center"/>
        <w:tblLayout w:type="fixed"/>
        <w:tblLook w:firstRow="1" w:lastRow="0" w:firstColumn="0" w:lastColumn="0" w:noHBand="0" w:noVBand="0" w:val="0020"/>
      </w:tblPr>
      <w:tblGrid>
        <w:gridCol w:w="2640"/>
        <w:gridCol w:w="2640"/>
        <w:gridCol w:w="2640"/>
      </w:tblGrid>
      <w:tr>
        <w:trPr>
          <w:tblHeader w:val="on"/>
          <w:cantSplit/>
        </w:trPr>
        <w:tc>
          <w:tcPr>
            <w:tcW w:w="180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Feature</w:t>
            </w:r>
          </w:p>
        </w:tc>
        <w:tc>
          <w:tcPr>
            <w:tcW w:w="3671"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OpenAI artifact</w:t>
            </w:r>
          </w:p>
        </w:tc>
        <w:tc>
          <w:tcPr>
            <w:tcW w:w="4176"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Anthropic-hosted preprint</w:t>
            </w:r>
          </w:p>
        </w:tc>
      </w:tr>
      <w:tr>
        <w:trPr>
          <w:cantSplit/>
        </w:trPr>
        <w:tc>
          <w:tcPr>
            <w:tcW w:w="180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Acting group</w:t>
            </w:r>
          </w:p>
        </w:tc>
        <w:tc>
          <w:tcPr>
            <w:tcW w:w="3671" w:type="dxa"/>
            <w:tcMar>
              <w:top w:w="58" w:type="dxa"/>
              <w:start w:w="70" w:type="dxa"/>
              <w:bottom w:w="58" w:type="dxa"/>
              <w:end w:w="70" w:type="dxa"/>
            </w:tcMar>
            <w:vAlign w:val="center"/>
          </w:tcPr>
          <w:p>
            <w:pPr>
              <w:pStyle w:val="Compact"/>
              <w:spacing w:after="20" w:line="240" w:lineRule="auto"/>
              <w:jc w:val="left"/>
            </w:pPr>
            <m:oMath>
              <m:r>
                <m:t>K</m:t>
              </m:r>
              <m:r>
                <m:rPr>
                  <m:sty m:val="p"/>
                </m:rPr>
                <m:t>=</m:t>
              </m:r>
              <m:r>
                <m:rPr>
                  <m:sty m:val="p"/>
                </m:rPr>
                <m:t>ker</m:t>
              </m:r>
              <m:d>
                <m:dPr>
                  <m:begChr m:val="("/>
                  <m:endChr m:val=")"/>
                  <m:sepChr m:val=""/>
                  <m:grow/>
                </m:dPr>
                <m:e>
                  <m:r>
                    <m:t>S</m:t>
                  </m:r>
                  <m:sSub>
                    <m:e>
                      <m:r>
                        <m:t>L</m:t>
                      </m:r>
                    </m:e>
                    <m:sub>
                      <m:r>
                        <m:t>4</m:t>
                      </m:r>
                    </m:sub>
                  </m:sSub>
                  <m:d>
                    <m:dPr>
                      <m:begChr m:val="("/>
                      <m:endChr m:val=")"/>
                      <m:sepChr m:val=""/>
                      <m:grow/>
                    </m:dPr>
                    <m:e>
                      <m:r>
                        <m:rPr>
                          <m:sty m:val="p"/>
                          <m:scr m:val="double-struck"/>
                        </m:rPr>
                        <m:t>Z</m:t>
                      </m:r>
                      <m:d>
                        <m:dPr>
                          <m:begChr m:val="["/>
                          <m:endChr m:val="]"/>
                          <m:sepChr m:val=""/>
                          <m:grow/>
                        </m:dPr>
                        <m:e>
                          <m:r>
                            <m:t>t</m:t>
                          </m:r>
                        </m:e>
                      </m:d>
                    </m:e>
                  </m:d>
                  <m:r>
                    <m:rPr>
                      <m:sty m:val="p"/>
                    </m:rPr>
                    <m:t>→</m:t>
                  </m:r>
                  <m:r>
                    <m:t>S</m:t>
                  </m:r>
                  <m:sSub>
                    <m:e>
                      <m:r>
                        <m:t>L</m:t>
                      </m:r>
                    </m:e>
                    <m:sub>
                      <m:r>
                        <m:t>4</m:t>
                      </m:r>
                    </m:sub>
                  </m:sSub>
                  <m:d>
                    <m:dPr>
                      <m:begChr m:val="("/>
                      <m:endChr m:val=")"/>
                      <m:sepChr m:val=""/>
                      <m:grow/>
                    </m:dPr>
                    <m:e>
                      <m:sSub>
                        <m:e>
                          <m:r>
                            <m:rPr>
                              <m:sty m:val="p"/>
                              <m:scr m:val="double-struck"/>
                            </m:rPr>
                            <m:t>F</m:t>
                          </m:r>
                        </m:e>
                        <m:sub>
                          <m:r>
                            <m:t>3</m:t>
                          </m:r>
                        </m:sub>
                      </m:sSub>
                    </m:e>
                  </m:d>
                </m:e>
              </m:d>
            </m:oMath>
          </w:p>
        </w:tc>
        <w:tc>
          <w:tcPr>
            <w:tcW w:w="4176" w:type="dxa"/>
            <w:tcMar>
              <w:top w:w="58" w:type="dxa"/>
              <w:start w:w="70" w:type="dxa"/>
              <w:bottom w:w="58" w:type="dxa"/>
              <w:end w:w="70" w:type="dxa"/>
            </w:tcMar>
            <w:vAlign w:val="center"/>
          </w:tcPr>
          <w:p>
            <w:pPr>
              <w:pStyle w:val="Compact"/>
              <w:spacing w:after="20" w:line="240" w:lineRule="auto"/>
              <w:jc w:val="left"/>
            </w:pPr>
            <m:oMath>
              <m:r>
                <m:t>S</m:t>
              </m:r>
              <m:sSub>
                <m:e>
                  <m:r>
                    <m:t>p</m:t>
                  </m:r>
                </m:e>
                <m:sub>
                  <m:r>
                    <m:t>4</m:t>
                  </m:r>
                </m:sub>
              </m:sSub>
              <m:d>
                <m:dPr>
                  <m:begChr m:val="("/>
                  <m:endChr m:val=")"/>
                  <m:sepChr m:val=""/>
                  <m:grow/>
                </m:dPr>
                <m:e>
                  <m:r>
                    <m:rPr>
                      <m:sty m:val="p"/>
                      <m:scr m:val="double-struck"/>
                    </m:rPr>
                    <m:t>Z</m:t>
                  </m:r>
                </m:e>
              </m:d>
            </m:oMath>
          </w:p>
        </w:tc>
      </w:tr>
      <w:tr>
        <w:trPr>
          <w:cantSplit/>
        </w:trPr>
        <w:tc>
          <w:tcPr>
            <w:tcW w:w="180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Basic module</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Built from</w:t>
            </w:r>
            <w:r>
              <w:rPr>
                <w:rFonts w:ascii="Liberation Sans" w:hAnsi="Liberation Sans" w:eastAsia="Liberation Sans"/>
                <w:sz w:val="15"/>
              </w:rPr>
              <w:t xml:space="preserve"> </w:t>
            </w:r>
            <m:oMath>
              <m:r>
                <m:t>V</m:t>
              </m:r>
              <m:r>
                <m:rPr>
                  <m:sty m:val="p"/>
                </m:rPr>
                <m:t>=</m:t>
              </m:r>
              <m:sSub>
                <m:e>
                  <m:r>
                    <m:rPr>
                      <m:sty m:val="p"/>
                      <m:scr m:val="double-struck"/>
                    </m:rPr>
                    <m:t>F</m:t>
                  </m:r>
                </m:e>
                <m:sub>
                  <m:r>
                    <m:t>2</m:t>
                  </m:r>
                </m:sub>
              </m:sSub>
              <m:sSup>
                <m:e>
                  <m:d>
                    <m:dPr>
                      <m:begChr m:val="["/>
                      <m:endChr m:val="]"/>
                      <m:sepChr m:val=""/>
                      <m:grow/>
                    </m:dPr>
                    <m:e>
                      <m:r>
                        <m:t>t</m:t>
                      </m:r>
                    </m:e>
                  </m:d>
                </m:e>
                <m:sup>
                  <m:r>
                    <m:t>4</m:t>
                  </m:r>
                </m:sup>
              </m:sSup>
            </m:oMath>
            <w:r>
              <w:rPr>
                <w:rFonts w:ascii="Liberation Sans" w:hAnsi="Liberation Sans" w:eastAsia="Liberation Sans"/>
                <w:sz w:val="15"/>
              </w:rPr>
              <w:t xml:space="preserve"> </w:t>
            </w:r>
            <w:r>
              <w:rPr>
                <w:rFonts w:ascii="Liberation Sans" w:hAnsi="Liberation Sans" w:eastAsia="Liberation Sans"/>
                <w:sz w:val="15"/>
              </w:rPr>
              <w:t xml:space="preserve">and divided-square data</w:t>
            </w:r>
          </w:p>
        </w:tc>
        <w:tc>
          <w:tcPr>
            <w:tcW w:w="417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Free abelian lattice</w:t>
            </w:r>
            <w:r>
              <w:rPr>
                <w:rFonts w:ascii="Liberation Sans" w:hAnsi="Liberation Sans" w:eastAsia="Liberation Sans"/>
                <w:sz w:val="15"/>
              </w:rPr>
              <w:t xml:space="preserve"> </w:t>
            </w:r>
            <m:oMath>
              <m:sSup>
                <m:e>
                  <m:r>
                    <m:rPr>
                      <m:sty m:val="p"/>
                      <m:scr m:val="double-struck"/>
                    </m:rPr>
                    <m:t>Z</m:t>
                  </m:r>
                </m:e>
                <m:sup>
                  <m:r>
                    <m:t>4</m:t>
                  </m:r>
                </m:sup>
              </m:sSup>
            </m:oMath>
          </w:p>
        </w:tc>
      </w:tr>
      <w:tr>
        <w:trPr>
          <w:cantSplit/>
        </w:trPr>
        <w:tc>
          <w:tcPr>
            <w:tcW w:w="180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Kernel distinction</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Exponent-2 split kernel versus an exponent-4 carry-derived kernel</w:t>
            </w:r>
          </w:p>
        </w:tc>
        <w:tc>
          <w:tcPr>
            <w:tcW w:w="417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Split</w:t>
            </w:r>
            <w:r>
              <w:rPr>
                <w:rFonts w:ascii="Liberation Sans" w:hAnsi="Liberation Sans" w:eastAsia="Liberation Sans"/>
                <w:sz w:val="15"/>
              </w:rPr>
              <w:t xml:space="preserve"> </w:t>
            </w:r>
            <m:oMath>
              <m:sSup>
                <m:e>
                  <m:r>
                    <m:rPr>
                      <m:sty m:val="p"/>
                      <m:scr m:val="double-struck"/>
                    </m:rPr>
                    <m:t>Z</m:t>
                  </m:r>
                </m:e>
                <m:sup>
                  <m:r>
                    <m:t>4</m:t>
                  </m:r>
                </m:sup>
              </m:sSup>
              <m:r>
                <m:rPr>
                  <m:sty m:val="p"/>
                </m:rPr>
                <m:t>⋊</m:t>
              </m:r>
              <m:r>
                <m:t>S</m:t>
              </m:r>
              <m:sSub>
                <m:e>
                  <m:r>
                    <m:t>p</m:t>
                  </m:r>
                </m:e>
                <m:sub>
                  <m:r>
                    <m:t>4</m:t>
                  </m:r>
                </m:sub>
              </m:sSub>
              <m:d>
                <m:dPr>
                  <m:begChr m:val="("/>
                  <m:endChr m:val=")"/>
                  <m:sepChr m:val=""/>
                  <m:grow/>
                </m:dPr>
                <m:e>
                  <m:r>
                    <m:rPr>
                      <m:sty m:val="p"/>
                      <m:scr m:val="double-struck"/>
                    </m:rPr>
                    <m:t>Z</m:t>
                  </m:r>
                </m:e>
              </m:d>
            </m:oMath>
            <w:r>
              <w:rPr>
                <w:rFonts w:ascii="Liberation Sans" w:hAnsi="Liberation Sans" w:eastAsia="Liberation Sans"/>
                <w:sz w:val="15"/>
              </w:rPr>
              <w:t xml:space="preserve"> </w:t>
            </w:r>
            <w:r>
              <w:rPr>
                <w:rFonts w:ascii="Liberation Sans" w:hAnsi="Liberation Sans" w:eastAsia="Liberation Sans"/>
                <w:sz w:val="15"/>
              </w:rPr>
              <w:t xml:space="preserve">versus a non-split</w:t>
            </w:r>
            <w:r>
              <w:rPr>
                <w:rFonts w:ascii="Liberation Sans" w:hAnsi="Liberation Sans" w:eastAsia="Liberation Sans"/>
                <w:sz w:val="15"/>
              </w:rPr>
              <w:t xml:space="preserve"> </w:t>
            </w:r>
            <m:oMath>
              <m:sSup>
                <m:e>
                  <m:r>
                    <m:rPr>
                      <m:sty m:val="p"/>
                      <m:scr m:val="double-struck"/>
                    </m:rPr>
                    <m:t>Z</m:t>
                  </m:r>
                </m:e>
                <m:sup>
                  <m:r>
                    <m:t>4</m:t>
                  </m:r>
                </m:sup>
              </m:sSup>
            </m:oMath>
            <w:r>
              <w:rPr>
                <w:rFonts w:ascii="Liberation Sans" w:hAnsi="Liberation Sans" w:eastAsia="Liberation Sans"/>
                <w:sz w:val="15"/>
              </w:rPr>
              <w:t xml:space="preserve"> </w:t>
            </w:r>
            <w:r>
              <w:rPr>
                <w:rFonts w:ascii="Liberation Sans" w:hAnsi="Liberation Sans" w:eastAsia="Liberation Sans"/>
                <w:sz w:val="15"/>
              </w:rPr>
              <w:t xml:space="preserve">extension</w:t>
            </w:r>
          </w:p>
        </w:tc>
      </w:tr>
      <w:tr>
        <w:trPr>
          <w:cantSplit/>
        </w:trPr>
        <w:tc>
          <w:tcPr>
            <w:tcW w:w="180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Top-level architecture</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Both final groups are semidirect products by</w:t>
            </w:r>
            <w:r>
              <w:rPr>
                <w:rFonts w:ascii="Liberation Sans" w:hAnsi="Liberation Sans" w:eastAsia="Liberation Sans"/>
                <w:sz w:val="15"/>
              </w:rPr>
              <w:t xml:space="preserve"> </w:t>
            </w:r>
            <m:oMath>
              <m:r>
                <m:t>K</m:t>
              </m:r>
            </m:oMath>
          </w:p>
        </w:tc>
        <w:tc>
          <w:tcPr>
            <w:tcW w:w="417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One split semidirect product and one non-split extension, both embedded in</w:t>
            </w:r>
            <w:r>
              <w:rPr>
                <w:rFonts w:ascii="Liberation Sans" w:hAnsi="Liberation Sans" w:eastAsia="Liberation Sans"/>
                <w:sz w:val="15"/>
              </w:rPr>
              <w:t xml:space="preserve"> </w:t>
            </w:r>
            <m:oMath>
              <m:f>
                <m:fPr>
                  <m:type m:val="lin"/>
                </m:fPr>
                <m:num>
                  <m:r>
                    <m:t>1</m:t>
                  </m:r>
                </m:num>
                <m:den>
                  <m:r>
                    <m:t>2</m:t>
                  </m:r>
                </m:den>
              </m:f>
              <m:sSup>
                <m:e>
                  <m:r>
                    <m:rPr>
                      <m:sty m:val="p"/>
                      <m:scr m:val="double-struck"/>
                    </m:rPr>
                    <m:t>Z</m:t>
                  </m:r>
                </m:e>
                <m:sup>
                  <m:r>
                    <m:t>4</m:t>
                  </m:r>
                </m:sup>
              </m:sSup>
              <m:r>
                <m:rPr>
                  <m:sty m:val="p"/>
                </m:rPr>
                <m:t>⋊</m:t>
              </m:r>
              <m:r>
                <m:t>S</m:t>
              </m:r>
              <m:sSub>
                <m:e>
                  <m:r>
                    <m:t>p</m:t>
                  </m:r>
                </m:e>
                <m:sub>
                  <m:r>
                    <m:t>4</m:t>
                  </m:r>
                </m:sub>
              </m:sSub>
              <m:d>
                <m:dPr>
                  <m:begChr m:val="("/>
                  <m:endChr m:val=")"/>
                  <m:sepChr m:val=""/>
                  <m:grow/>
                </m:dPr>
                <m:e>
                  <m:r>
                    <m:rPr>
                      <m:sty m:val="p"/>
                      <m:scr m:val="double-struck"/>
                    </m:rPr>
                    <m:t>Z</m:t>
                  </m:r>
                </m:e>
              </m:d>
            </m:oMath>
          </w:p>
        </w:tc>
      </w:tr>
      <w:tr>
        <w:trPr>
          <w:cantSplit/>
        </w:trPr>
        <w:tc>
          <w:tcPr>
            <w:tcW w:w="180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Proof artifact</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37,374-line Lean development plus walkthrough</w:t>
            </w:r>
          </w:p>
        </w:tc>
        <w:tc>
          <w:tcPr>
            <w:tcW w:w="417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Twelve-page explicit prose construction and gauge</w:t>
            </w:r>
          </w:p>
        </w:tc>
      </w:tr>
    </w:tbl>
    <w:p>
      <w:pPr>
        <w:pStyle w:val="BodyText"/>
      </w:pPr>
      <w:r>
        <w:t xml:space="preserve">They have a family resemblance. Both exploit extension data, Pontryagin duality, and a carry-like mechanism by which a von Neumann algebra may fail to remember a group distinction. Family resemblance is not identity. Different acting groups, modules, torsion, and extension architectures cannot be erased by calling one a formalization of the other.</w:t>
      </w:r>
    </w:p>
    <w:p>
      <w:pPr>
        <w:pStyle w:val="BodyText"/>
      </w:pPr>
      <w:r>
        <w:t xml:space="preserve">The contradiction becomes internal in v47. The paper first declares the constructions the same, then later says,</w:t>
      </w:r>
      <w:r>
        <w:t xml:space="preserve"> </w:t>
      </w:r>
      <w:r>
        <w:t xml:space="preserve">“</w:t>
      </w:r>
      <w:r>
        <w:t xml:space="preserve">Unlike the OpenAI construction, the split [Anthropic] group</w:t>
      </w:r>
      <w:r>
        <w:t xml:space="preserve"> </w:t>
      </w:r>
      <m:oMath>
        <m:sSub>
          <m:e>
            <m:r>
              <m:t>Γ</m:t>
            </m:r>
          </m:e>
          <m:sub>
            <m:r>
              <m:t>0</m:t>
            </m:r>
          </m:sub>
        </m:sSub>
      </m:oMath>
      <w:r>
        <w:t xml:space="preserve"> </w:t>
      </w:r>
      <w:r>
        <w:t xml:space="preserve">is ICC and does have property (T)</w:t>
      </w:r>
      <w:r>
        <w:t xml:space="preserve">”</w:t>
      </w:r>
      <w:r>
        <w:t xml:space="preserve"> </w:t>
      </w:r>
      <w:r>
        <w:t xml:space="preserve">and concedes that the elementary center argument does not apply [1, pp. 13-15]. If the constructions are literally the same groups, they cannot differ in precisely the properties under dispute.</w:t>
      </w:r>
    </w:p>
    <w:bookmarkEnd w:id="40"/>
    <w:bookmarkStart w:id="41" w:name="the-disjunctive-fallback-is-invalid"/>
    <w:p>
      <w:pPr>
        <w:pStyle w:val="Heading3"/>
        <w:jc w:val="left"/>
        <w:keepNext/>
        <w:keepLines/>
      </w:pPr>
      <w:r>
        <w:t xml:space="preserve">4.5 The disjunctive fallback is invalid</w:t>
      </w:r>
    </w:p>
    <w:p>
      <w:pPr>
        <w:pStyle w:val="FirstParagraph"/>
      </w:pPr>
      <w:r>
        <w:t xml:space="preserve">Nielsen attempts to escape the mismatch by a disjunction: if the OpenAI groups fit the higher-rank/free-</w:t>
      </w:r>
      <m:oMath>
        <m:r>
          <m:rPr>
            <m:sty m:val="p"/>
            <m:scr m:val="double-struck"/>
          </m:rPr>
          <m:t>Z</m:t>
        </m:r>
      </m:oMath>
      <w:r>
        <w:t xml:space="preserve">-module template, her Borel-Margulis-Schur argument applies; if they do not, then they supposedly fail ICC or property (T) [1, pp. 1-2]. The second horn does not follow.</w:t>
      </w:r>
    </w:p>
    <w:p>
      <w:pPr>
        <w:pStyle w:val="BodyText"/>
      </w:pPr>
      <w:r>
        <w:t xml:space="preserve">Universal lattices over</w:t>
      </w:r>
      <w:r>
        <w:t xml:space="preserve"> </w:t>
      </w:r>
      <m:oMath>
        <m:r>
          <m:rPr>
            <m:sty m:val="p"/>
            <m:scr m:val="double-struck"/>
          </m:rPr>
          <m:t>Z</m:t>
        </m:r>
        <m:d>
          <m:dPr>
            <m:begChr m:val="["/>
            <m:endChr m:val="]"/>
            <m:sepChr m:val=""/>
            <m:grow/>
          </m:dPr>
          <m:e>
            <m:r>
              <m:t>t</m:t>
            </m:r>
          </m:e>
        </m:d>
      </m:oMath>
      <w:r>
        <w:t xml:space="preserve"> </w:t>
      </w:r>
      <w:r>
        <w:t xml:space="preserve">are not lattices in real semisimple Lie groups merely because they are arithmetic-looking matrix groups. The OpenAI property-(T) route invokes universal-lattice machinery, including Ershov-Jaikin and Shalom-style relative property (T), precisely because the construction is outside the classical</w:t>
      </w:r>
      <w:r>
        <w:t xml:space="preserve"> </w:t>
      </w:r>
      <m:oMath>
        <m:r>
          <m:t>S</m:t>
        </m:r>
        <m:sSub>
          <m:e>
            <m:r>
              <m:t>p</m:t>
            </m:r>
          </m:e>
          <m:sub>
            <m:r>
              <m:t>4</m:t>
            </m:r>
          </m:sub>
        </m:sSub>
        <m:d>
          <m:dPr>
            <m:begChr m:val="("/>
            <m:endChr m:val=")"/>
            <m:sepChr m:val=""/>
            <m:grow/>
          </m:dPr>
          <m:e>
            <m:r>
              <m:rPr>
                <m:sty m:val="p"/>
                <m:scr m:val="double-struck"/>
              </m:rPr>
              <m:t>Z</m:t>
            </m:r>
          </m:e>
        </m:d>
      </m:oMath>
      <w:r>
        <w:t xml:space="preserve"> </w:t>
      </w:r>
      <w:r>
        <w:t xml:space="preserve">lattice template [5,6]. Likewise, a torsion abelian kernel does not imply failure of ICC or property (T). The OpenAI artifact is explicitly designed to combine torsion kernels, infinite orbits, and relative property (T).</w:t>
      </w:r>
    </w:p>
    <w:p>
      <w:pPr>
        <w:pStyle w:val="BodyText"/>
      </w:pPr>
      <w:r>
        <w:t xml:space="preserve">The fallback therefore has the form: either the groups satisfy the hypotheses of the proposed reductio, or they are declared invalid for reasons that are not proved. That is not proof by cases. It is a real first branch paired with a painted second branch.</w:t>
      </w:r>
    </w:p>
    <w:bookmarkEnd w:id="41"/>
    <w:bookmarkEnd w:id="42"/>
    <w:bookmarkStart w:id="43" w:name="X80b9d6fc51b44f805e390dbad977851a2e17b28"/>
    <w:p>
      <w:pPr>
        <w:pStyle w:val="Heading2"/>
        <w:jc w:val="left"/>
        <w:keepNext/>
        <w:keepLines/>
      </w:pPr>
      <w:r>
        <w:t xml:space="preserve">5. The Anthropic-hosted construction and the exact-arithmetic check</w:t>
      </w:r>
    </w:p>
    <w:p>
      <w:pPr>
        <w:pStyle w:val="FirstParagraph"/>
      </w:pPr>
      <w:r>
        <w:t xml:space="preserve">The Anthropic-hosted preprint constructs</w:t>
      </w:r>
    </w:p>
    <w:p>
      <w:pPr>
        <w:pStyle w:val="BodyText"/>
      </w:pPr>
      <m:oMathPara>
        <m:oMathParaPr>
          <m:jc m:val="center"/>
        </m:oMathParaPr>
        <m:oMath>
          <m:sSub>
            <m:e>
              <m:r>
                <m:t>Γ</m:t>
              </m:r>
            </m:e>
            <m:sub>
              <m:r>
                <m:t>0</m:t>
              </m:r>
            </m:sub>
          </m:sSub>
          <m:r>
            <m:rPr>
              <m:sty m:val="p"/>
            </m:rPr>
            <m:t>=</m:t>
          </m:r>
          <m:sSup>
            <m:e>
              <m:r>
                <m:rPr>
                  <m:sty m:val="p"/>
                  <m:scr m:val="double-struck"/>
                </m:rPr>
                <m:t>Z</m:t>
              </m:r>
            </m:e>
            <m:sup>
              <m:r>
                <m:t>4</m:t>
              </m:r>
            </m:sup>
          </m:sSup>
          <m:r>
            <m:rPr>
              <m:sty m:val="p"/>
            </m:rPr>
            <m:t>⋊</m:t>
          </m:r>
          <m:r>
            <m:t>S</m:t>
          </m:r>
          <m:sSub>
            <m:e>
              <m:r>
                <m:t>p</m:t>
              </m:r>
            </m:e>
            <m:sub>
              <m:r>
                <m:t>4</m:t>
              </m:r>
            </m:sub>
          </m:sSub>
          <m:d>
            <m:dPr>
              <m:begChr m:val="("/>
              <m:endChr m:val=")"/>
              <m:sepChr m:val=""/>
              <m:grow/>
            </m:dPr>
            <m:e>
              <m:r>
                <m:rPr>
                  <m:sty m:val="p"/>
                  <m:scr m:val="double-struck"/>
                </m:rPr>
                <m:t>Z</m:t>
              </m:r>
            </m:e>
          </m:d>
        </m:oMath>
      </m:oMathPara>
    </w:p>
    <w:p>
      <w:pPr>
        <w:pStyle w:val="FirstParagraph"/>
      </w:pPr>
      <w:r>
        <w:t xml:space="preserve">and a non-split extension</w:t>
      </w:r>
      <w:r>
        <w:t xml:space="preserve"> </w:t>
      </w:r>
      <m:oMath>
        <m:sSub>
          <m:e>
            <m:r>
              <m:t>Γ</m:t>
            </m:r>
          </m:e>
          <m:sub>
            <m:r>
              <m:t>τ</m:t>
            </m:r>
          </m:sub>
        </m:sSub>
      </m:oMath>
      <w:r>
        <w:t xml:space="preserve"> </w:t>
      </w:r>
      <w:r>
        <w:t xml:space="preserve">whose class is the Bockstein of a theta-characteristic cocycle. It supplies arguments that both groups are ICC with property (T), that they are non-isomorphic, and that their group von Neumann algebras are trace-preservingly isomorphic through an explicit measurable gauge on</w:t>
      </w:r>
      <w:r>
        <w:t xml:space="preserve"> </w:t>
      </w:r>
      <m:oMath>
        <m:sSup>
          <m:e>
            <m:r>
              <m:rPr>
                <m:sty m:val="p"/>
                <m:scr m:val="double-struck"/>
              </m:rPr>
              <m:t>T</m:t>
            </m:r>
          </m:e>
          <m:sup>
            <m:r>
              <m:t>4</m:t>
            </m:r>
          </m:sup>
        </m:sSup>
      </m:oMath>
      <w:r>
        <w:t xml:space="preserve"> </w:t>
      </w:r>
      <w:r>
        <w:t xml:space="preserve">[7]. Those arguments remain preprint claims pending specialist review; our finite computation addresses only the explicit identities below.</w:t>
      </w:r>
    </w:p>
    <w:p>
      <w:pPr>
        <w:pStyle w:val="BodyText"/>
      </w:pPr>
      <w:r>
        <w:t xml:space="preserve">Red audited the paper section by section, disclosed the Anthropic-lineage conflict, and implemented the load-bearing identities in exact rational arithmetic [8,10]. We reran the supplied fixed-seed script unchanged. Across 400 random triples</w:t>
      </w:r>
      <w:r>
        <w:t xml:space="preserve"> </w:t>
      </w:r>
      <m:oMath>
        <m:d>
          <m:dPr>
            <m:begChr m:val="("/>
            <m:endChr m:val=")"/>
            <m:sepChr m:val=""/>
            <m:grow/>
          </m:dPr>
          <m:e>
            <m:r>
              <m:t>g</m:t>
            </m:r>
            <m:r>
              <m:rPr>
                <m:sty m:val="p"/>
              </m:rPr>
              <m:t>,</m:t>
            </m:r>
            <m:r>
              <m:t>h</m:t>
            </m:r>
            <m:r>
              <m:rPr>
                <m:sty m:val="p"/>
              </m:rPr>
              <m:t>,</m:t>
            </m:r>
            <m:r>
              <m:t>x</m:t>
            </m:r>
          </m:e>
        </m:d>
      </m:oMath>
      <w:r>
        <w:t xml:space="preserve">, with</w:t>
      </w:r>
      <w:r>
        <w:t xml:space="preserve"> </w:t>
      </w:r>
      <m:oMath>
        <m:r>
          <m:t>g</m:t>
        </m:r>
        <m:r>
          <m:rPr>
            <m:sty m:val="p"/>
          </m:rPr>
          <m:t>,</m:t>
        </m:r>
        <m:r>
          <m:t>h</m:t>
        </m:r>
      </m:oMath>
      <w:r>
        <w:t xml:space="preserve"> </w:t>
      </w:r>
      <w:r>
        <w:t xml:space="preserve">generated from symplectic transvections, the script obtained:</w:t>
      </w:r>
    </w:p>
    <w:p>
      <w:pPr>
        <w:pStyle w:val="SourceCode"/>
        <w:spacing w:line="240" w:lineRule="auto" w:before="60" w:after="80"/>
        <w:ind w:right="144"/>
        <w:jc w:val="left"/>
        <w:shd w:fill="F3F1F6"/>
        <w:pBdr>
          <w:left w:val="single" w:sz="14" w:space="7" w:color="563778"/>
        </w:pBdr>
        <w:keepLines/>
      </w:pPr>
      <w:r>
        <w:rPr>
          <w:rStyle w:val="VerbatimChar"/>
          <w:rFonts w:ascii="Liberation Mono" w:hAnsi="Liberation Mono" w:eastAsia="Liberation Mono"/>
          <w:sz w:val="15"/>
        </w:rPr>
        <w:t xml:space="preserve">symplectic sanity:                      all passed</w:t>
      </w:r>
      <w:r>
        <w:rPr>
          <w:rFonts w:ascii="Liberation Mono" w:hAnsi="Liberation Mono" w:eastAsia="Liberation Mono"/>
          <w:sz w:val="15"/>
        </w:rPr>
        <w:br/>
      </w:r>
      <w:r>
        <w:rPr>
          <w:rStyle w:val="VerbatimChar"/>
          <w:rFonts w:ascii="Liberation Mono" w:hAnsi="Liberation Mono" w:eastAsia="Liberation Mono"/>
          <w:sz w:val="15"/>
        </w:rPr>
        <w:t xml:space="preserve">Lemma 3.1 q0(h^T v) identity mod 2:     400/400</w:t>
      </w:r>
      <w:r>
        <w:rPr>
          <w:rFonts w:ascii="Liberation Mono" w:hAnsi="Liberation Mono" w:eastAsia="Liberation Mono"/>
          <w:sz w:val="15"/>
        </w:rPr>
        <w:br/>
      </w:r>
      <w:r>
        <w:rPr>
          <w:rStyle w:val="VerbatimChar"/>
          <w:rFonts w:ascii="Liberation Mono" w:hAnsi="Liberation Mono" w:eastAsia="Liberation Mono"/>
          <w:sz w:val="15"/>
        </w:rPr>
        <w:t xml:space="preserve">Cor. 3.2 dW in 2Z^4:                    400/400</w:t>
      </w:r>
      <w:r>
        <w:rPr>
          <w:rFonts w:ascii="Liberation Mono" w:hAnsi="Liberation Mono" w:eastAsia="Liberation Mono"/>
          <w:sz w:val="15"/>
        </w:rPr>
        <w:br/>
      </w:r>
      <w:r>
        <w:rPr>
          <w:rStyle w:val="VerbatimChar"/>
          <w:rFonts w:ascii="Liberation Mono" w:hAnsi="Liberation Mono" w:eastAsia="Liberation Mono"/>
          <w:sz w:val="15"/>
        </w:rPr>
        <w:t xml:space="preserve">Eq. (9) carry-cocycle identity:         400/400</w:t>
      </w:r>
      <w:r>
        <w:rPr>
          <w:rFonts w:ascii="Liberation Mono" w:hAnsi="Liberation Mono" w:eastAsia="Liberation Mono"/>
          <w:sz w:val="15"/>
        </w:rPr>
        <w:br/>
      </w:r>
      <w:r>
        <w:rPr>
          <w:rStyle w:val="VerbatimChar"/>
          <w:rFonts w:ascii="Liberation Mono" w:hAnsi="Liberation Mono" w:eastAsia="Liberation Mono"/>
          <w:sz w:val="15"/>
        </w:rPr>
        <w:t xml:space="preserve">Theorem 5.1, source-faithful barred form: 400/400</w:t>
      </w:r>
      <w:r>
        <w:rPr>
          <w:rFonts w:ascii="Liberation Mono" w:hAnsi="Liberation Mono" w:eastAsia="Liberation Mono"/>
          <w:sz w:val="15"/>
        </w:rPr>
        <w:br/>
      </w:r>
      <w:r>
        <w:rPr>
          <w:rStyle w:val="VerbatimChar"/>
          <w:rFonts w:ascii="Liberation Mono" w:hAnsi="Liberation Mono" w:eastAsia="Liberation Mono"/>
          <w:sz w:val="15"/>
        </w:rPr>
        <w:t xml:space="preserve">Intentionally corrupted unbarred control: 1/400</w:t>
      </w:r>
      <w:r>
        <w:rPr>
          <w:rFonts w:ascii="Liberation Mono" w:hAnsi="Liberation Mono" w:eastAsia="Liberation Mono"/>
          <w:sz w:val="15"/>
        </w:rPr>
        <w:br/>
      </w:r>
      <w:r>
        <w:rPr>
          <w:rStyle w:val="VerbatimChar"/>
          <w:rFonts w:ascii="Liberation Mono" w:hAnsi="Liberation Mono" w:eastAsia="Liberation Mono"/>
          <w:sz w:val="15"/>
        </w:rPr>
        <w:t xml:space="preserve">Lemma 3.3 zero count:                   10</w:t>
      </w:r>
      <w:r>
        <w:rPr>
          <w:rFonts w:ascii="Liberation Mono" w:hAnsi="Liberation Mono" w:eastAsia="Liberation Mono"/>
          <w:sz w:val="15"/>
        </w:rPr>
        <w:br/>
      </w:r>
      <w:r>
        <w:rPr>
          <w:rStyle w:val="VerbatimChar"/>
          <w:rFonts w:ascii="Liberation Mono" w:hAnsi="Liberation Mono" w:eastAsia="Liberation Mono"/>
          <w:sz w:val="15"/>
        </w:rPr>
        <w:t xml:space="preserve">transvection formula mod 2:             200/200</w:t>
      </w:r>
    </w:p>
    <w:p>
      <w:pPr>
        <w:pStyle w:val="FirstParagraph"/>
      </w:pPr>
      <w:r>
        <w:t xml:space="preserve">An earlier draft of this paper incorrectly said the displayed theorem omitted a conjugation bar. Codex’s hostile review forced visual inspection of the PDF rather than reliance on extracted text. The overbar is visibly present in Theorem 5.1 and in the earlier gauge identity; plain-text extraction dropped the glyph [31]. We therefore retract the typographical-omission claim. The</w:t>
      </w:r>
      <w:r>
        <w:t xml:space="preserve"> </w:t>
      </w:r>
      <m:oMath>
        <m:r>
          <m:t>1</m:t>
        </m:r>
        <m:r>
          <m:rPr>
            <m:sty m:val="p"/>
          </m:rPr>
          <m:t>/</m:t>
        </m:r>
        <m:r>
          <m:t>400</m:t>
        </m:r>
      </m:oMath>
      <w:r>
        <w:t xml:space="preserve"> </w:t>
      </w:r>
      <w:r>
        <w:t xml:space="preserve">unbarred result remains useful only as an intentionally corrupted negative control showing that the sign matters. It is not the literal source reading.</w:t>
      </w:r>
    </w:p>
    <w:p>
      <w:pPr>
        <w:pStyle w:val="BodyText"/>
      </w:pPr>
      <w:r>
        <w:t xml:space="preserve">Randomized exact-arithmetic regression is not proof. It can falsify an identity on sampled inputs, expose a sign error, and strengthen confidence in an explicit computation. It cannot replace a universal derivation or a specialist review of measurability, crossed-product implementation, and factor isomorphism. We state the result at its proper level:</w:t>
      </w:r>
      <w:r>
        <w:t xml:space="preserve"> </w:t>
      </w:r>
      <w:r>
        <w:rPr>
          <w:b/>
          <w:bCs/>
        </w:rPr>
        <w:t xml:space="preserve">the source-faithful barred identity was reproduced on finite exact samples, and Nielsen’s assertion that the explicit gauge</w:t>
      </w:r>
      <w:r>
        <w:rPr>
          <w:b/>
          <w:bCs/>
        </w:rPr>
        <w:t xml:space="preserve"> </w:t>
      </w:r>
      <w:r>
        <w:rPr>
          <w:b/>
          <w:bCs/>
        </w:rPr>
        <w:t xml:space="preserve">“</w:t>
      </w:r>
      <w:r>
        <w:rPr>
          <w:b/>
          <w:bCs/>
        </w:rPr>
        <w:t xml:space="preserve">must</w:t>
      </w:r>
      <w:r>
        <w:rPr>
          <w:b/>
          <w:bCs/>
        </w:rPr>
        <w:t xml:space="preserve">”</w:t>
      </w:r>
      <w:r>
        <w:rPr>
          <w:b/>
          <w:bCs/>
        </w:rPr>
        <w:t xml:space="preserve"> </w:t>
      </w:r>
      <w:r>
        <w:rPr>
          <w:b/>
          <w:bCs/>
        </w:rPr>
        <w:t xml:space="preserve">be wrong is unsupported by the evidence supplied in her manuscript</w:t>
      </w:r>
      <w:r>
        <w:t xml:space="preserve">.</w:t>
      </w:r>
    </w:p>
    <w:p>
      <w:pPr>
        <w:pStyle w:val="BodyText"/>
      </w:pPr>
      <w:r>
        <w:t xml:space="preserve">Nielsen’s reasoning reverses the burden. An established theorem contradicts the gauge only if her application of that theorem is valid. The next section shows that the application fails before it reaches the gauge.</w:t>
      </w:r>
    </w:p>
    <w:bookmarkEnd w:id="43"/>
    <w:bookmarkStart w:id="49" w:name="part-ii-fails-at-ioanas-theorem-8.2"/>
    <w:p>
      <w:pPr>
        <w:pStyle w:val="Heading2"/>
        <w:jc w:val="left"/>
        <w:keepNext/>
        <w:keepLines/>
      </w:pPr>
      <w:r>
        <w:t xml:space="preserve">6. Part II fails at Ioana’s Theorem 8.2</w:t>
      </w:r>
    </w:p>
    <w:bookmarkStart w:id="44" w:name="the-mixed-target-is-permitted"/>
    <w:p>
      <w:pPr>
        <w:pStyle w:val="Heading3"/>
        <w:jc w:val="left"/>
        <w:keepNext/>
        <w:keepLines/>
      </w:pPr>
      <w:r>
        <w:t xml:space="preserve">6.1 The mixed target is permitted</w:t>
      </w:r>
    </w:p>
    <w:p>
      <w:pPr>
        <w:pStyle w:val="FirstParagraph"/>
      </w:pPr>
      <w:r>
        <w:t xml:space="preserve">Nielsen defines Bernoulli crossed products</w:t>
      </w:r>
    </w:p>
    <w:p>
      <w:pPr>
        <w:pStyle w:val="BodyText"/>
      </w:pPr>
      <m:oMathPara>
        <m:oMathParaPr>
          <m:jc m:val="center"/>
        </m:oMathParaPr>
        <m:oMath>
          <m:sSub>
            <m:e>
              <m:r>
                <m:t>A</m:t>
              </m:r>
            </m:e>
            <m:sub>
              <m:r>
                <m:t>G</m:t>
              </m:r>
            </m:sub>
          </m:sSub>
          <m:r>
            <m:rPr>
              <m:sty m:val="p"/>
            </m:rPr>
            <m:t>=</m:t>
          </m:r>
          <m:sSup>
            <m:e>
              <m:r>
                <m:t>L</m:t>
              </m:r>
            </m:e>
            <m:sup>
              <m:r>
                <m:rPr>
                  <m:sty m:val="p"/>
                </m:rPr>
                <m:t>∞</m:t>
              </m:r>
            </m:sup>
          </m:sSup>
          <m:d>
            <m:dPr>
              <m:begChr m:val="("/>
              <m:endChr m:val=")"/>
              <m:sepChr m:val=""/>
              <m:grow/>
            </m:dPr>
            <m:e>
              <m:r>
                <m:t>X</m:t>
              </m:r>
            </m:e>
          </m:d>
          <m:r>
            <m:rPr>
              <m:sty m:val="p"/>
            </m:rPr>
            <m:t>⋊</m:t>
          </m:r>
          <m:r>
            <m:t>G</m:t>
          </m:r>
          <m:r>
            <m:rPr>
              <m:sty m:val="p"/>
            </m:rPr>
            <m:t>,</m:t>
          </m:r>
          <m:r>
            <m:t>  </m:t>
          </m:r>
          <m:sSub>
            <m:e>
              <m:r>
                <m:t>A</m:t>
              </m:r>
            </m:e>
            <m:sub>
              <m:r>
                <m:t>H</m:t>
              </m:r>
            </m:sub>
          </m:sSub>
          <m:r>
            <m:rPr>
              <m:sty m:val="p"/>
            </m:rPr>
            <m:t>=</m:t>
          </m:r>
          <m:sSup>
            <m:e>
              <m:r>
                <m:t>L</m:t>
              </m:r>
            </m:e>
            <m:sup>
              <m:r>
                <m:rPr>
                  <m:sty m:val="p"/>
                </m:rPr>
                <m:t>∞</m:t>
              </m:r>
            </m:sup>
          </m:sSup>
          <m:d>
            <m:dPr>
              <m:begChr m:val="("/>
              <m:endChr m:val=")"/>
              <m:sepChr m:val=""/>
              <m:grow/>
            </m:dPr>
            <m:e>
              <m:r>
                <m:t>Y</m:t>
              </m:r>
            </m:e>
          </m:d>
          <m:r>
            <m:rPr>
              <m:sty m:val="p"/>
            </m:rPr>
            <m:t>⋊</m:t>
          </m:r>
          <m:r>
            <m:t>H</m:t>
          </m:r>
          <m:r>
            <m:rPr>
              <m:sty m:val="p"/>
            </m:rPr>
            <m:t>,</m:t>
          </m:r>
        </m:oMath>
      </m:oMathPara>
    </w:p>
    <w:p>
      <w:pPr>
        <w:pStyle w:val="FirstParagraph"/>
      </w:pPr>
      <w:r>
        <w:t xml:space="preserve">and, from an assumed factor isomorphism</w:t>
      </w:r>
      <w:r>
        <w:t xml:space="preserve"> </w:t>
      </w:r>
      <m:oMath>
        <m:r>
          <m:t>Φ</m:t>
        </m:r>
        <m:r>
          <m:rPr>
            <m:sty m:val="p"/>
          </m:rPr>
          <m:t>:</m:t>
        </m:r>
        <m:r>
          <m:t>L</m:t>
        </m:r>
        <m:d>
          <m:dPr>
            <m:begChr m:val="("/>
            <m:endChr m:val=")"/>
            <m:sepChr m:val=""/>
            <m:grow/>
          </m:dPr>
          <m:e>
            <m:r>
              <m:t>G</m:t>
            </m:r>
          </m:e>
        </m:d>
        <m:r>
          <m:rPr>
            <m:sty m:val="p"/>
          </m:rPr>
          <m:t>→</m:t>
        </m:r>
        <m:r>
          <m:t>L</m:t>
        </m:r>
        <m:d>
          <m:dPr>
            <m:begChr m:val="("/>
            <m:endChr m:val=")"/>
            <m:sepChr m:val=""/>
            <m:grow/>
          </m:dPr>
          <m:e>
            <m:r>
              <m:t>H</m:t>
            </m:r>
          </m:e>
        </m:d>
      </m:oMath>
      <w:r>
        <w:t xml:space="preserve">, defines</w:t>
      </w:r>
    </w:p>
    <w:p>
      <w:pPr>
        <w:pStyle w:val="BodyText"/>
      </w:pPr>
      <m:oMathPara>
        <m:oMathParaPr>
          <m:jc m:val="center"/>
        </m:oMathParaPr>
        <m:oMath>
          <m:r>
            <m:t>Θ</m:t>
          </m:r>
          <m:d>
            <m:dPr>
              <m:begChr m:val="("/>
              <m:endChr m:val=")"/>
              <m:sepChr m:val=""/>
              <m:grow/>
            </m:dPr>
            <m:e>
              <m:r>
                <m:t>f</m:t>
              </m:r>
              <m:sSub>
                <m:e>
                  <m:r>
                    <m:t>u</m:t>
                  </m:r>
                </m:e>
                <m:sub>
                  <m:r>
                    <m:t>g</m:t>
                  </m:r>
                </m:sub>
              </m:sSub>
            </m:e>
          </m:d>
          <m:r>
            <m:rPr>
              <m:sty m:val="p"/>
            </m:rPr>
            <m:t>=</m:t>
          </m:r>
          <m:r>
            <m:t>f</m:t>
          </m:r>
          <m:sSub>
            <m:e>
              <m:r>
                <m:t>u</m:t>
              </m:r>
            </m:e>
            <m:sub>
              <m:r>
                <m:t>g</m:t>
              </m:r>
            </m:sub>
          </m:sSub>
          <m:r>
            <m:rPr>
              <m:sty m:val="p"/>
            </m:rPr>
            <m:t>⊗</m:t>
          </m:r>
          <m:r>
            <m:t>Φ</m:t>
          </m:r>
          <m:d>
            <m:dPr>
              <m:begChr m:val="("/>
              <m:endChr m:val=")"/>
              <m:sepChr m:val=""/>
              <m:grow/>
            </m:dPr>
            <m:e>
              <m:sSub>
                <m:e>
                  <m:r>
                    <m:t>u</m:t>
                  </m:r>
                </m:e>
                <m:sub>
                  <m:r>
                    <m:t>g</m:t>
                  </m:r>
                </m:sub>
              </m:sSub>
            </m:e>
          </m:d>
          <m:r>
            <m:rPr>
              <m:sty m:val="p"/>
            </m:rPr>
            <m:t>.</m:t>
          </m:r>
        </m:oMath>
      </m:oMathPara>
    </w:p>
    <w:p>
      <w:pPr>
        <w:pStyle w:val="FirstParagraph"/>
      </w:pPr>
      <w:r>
        <w:t xml:space="preserve">An earlier version of our critique said the mixed</w:t>
      </w:r>
      <w:r>
        <w:t xml:space="preserve"> </w:t>
      </w:r>
      <m:oMath>
        <m:r>
          <m:t>G</m:t>
        </m:r>
        <m:r>
          <m:rPr>
            <m:sty m:val="p"/>
          </m:rPr>
          <m:t>/</m:t>
        </m:r>
        <m:r>
          <m:t>H</m:t>
        </m:r>
      </m:oMath>
      <w:r>
        <w:t xml:space="preserve"> </w:t>
      </w:r>
      <w:r>
        <w:t xml:space="preserve">target was itself outside Ioana’s theorem. That was wrong. Ioana’s full Theorem 8.2 permits a target</w:t>
      </w:r>
      <w:r>
        <w:t xml:space="preserve"> </w:t>
      </w:r>
      <m:oMath>
        <m:sSub>
          <m:e>
            <m:r>
              <m:t>M</m:t>
            </m:r>
          </m:e>
          <m:sub>
            <m:r>
              <m:t>1</m:t>
            </m:r>
          </m:sub>
        </m:sSub>
        <m:acc>
          <m:accPr>
            <m:chr m:val="‾"/>
          </m:accPr>
          <m:e>
            <m:r>
              <m:rPr>
                <m:sty m:val="p"/>
              </m:rPr>
              <m:t>⊗</m:t>
            </m:r>
          </m:e>
        </m:acc>
        <m:sSub>
          <m:e>
            <m:r>
              <m:t>M</m:t>
            </m:r>
          </m:e>
          <m:sub>
            <m:r>
              <m:t>2</m:t>
            </m:r>
          </m:sub>
        </m:sSub>
      </m:oMath>
      <w:r>
        <w:t xml:space="preserve"> </w:t>
      </w:r>
      <w:r>
        <w:t xml:space="preserve">and, in the torsion-free branch, can produce a homomorphism into</w:t>
      </w:r>
      <w:r>
        <w:t xml:space="preserve"> </w:t>
      </w:r>
      <m:oMath>
        <m:sSub>
          <m:e>
            <m:r>
              <m:t>Γ</m:t>
            </m:r>
          </m:e>
          <m:sub>
            <m:r>
              <m:t>1</m:t>
            </m:r>
          </m:sub>
        </m:sSub>
        <m:r>
          <m:rPr>
            <m:sty m:val="p"/>
          </m:rPr>
          <m:t>×</m:t>
        </m:r>
        <m:sSub>
          <m:e>
            <m:r>
              <m:t>Γ</m:t>
            </m:r>
          </m:e>
          <m:sub>
            <m:r>
              <m:t>2</m:t>
            </m:r>
          </m:sub>
        </m:sSub>
      </m:oMath>
      <w:r>
        <w:t xml:space="preserve"> </w:t>
      </w:r>
      <w:r>
        <w:t xml:space="preserve">[9]. The mixed target is not the load-bearing defect.</w:t>
      </w:r>
    </w:p>
    <w:bookmarkEnd w:id="44"/>
    <w:bookmarkStart w:id="45" w:name="X01b5fbba30f9834a272a318c9fd6a3b2b2fadea"/>
    <w:p>
      <w:pPr>
        <w:pStyle w:val="Heading3"/>
        <w:jc w:val="left"/>
        <w:keepNext/>
        <w:keepLines/>
      </w:pPr>
      <w:r>
        <w:t xml:space="preserve">6.2 The full image lies in the forbidden subalgebra</w:t>
      </w:r>
    </w:p>
    <w:p>
      <w:pPr>
        <w:pStyle w:val="FirstParagraph"/>
      </w:pPr>
      <w:r>
        <w:t xml:space="preserve">The load-bearing defect is simpler. Because</w:t>
      </w:r>
      <w:r>
        <w:t xml:space="preserve"> </w:t>
      </w:r>
      <m:oMath>
        <m:r>
          <m:t>Φ</m:t>
        </m:r>
        <m:d>
          <m:dPr>
            <m:begChr m:val="("/>
            <m:endChr m:val=")"/>
            <m:sepChr m:val=""/>
            <m:grow/>
          </m:dPr>
          <m:e>
            <m:sSub>
              <m:e>
                <m:r>
                  <m:t>u</m:t>
                </m:r>
              </m:e>
              <m:sub>
                <m:r>
                  <m:t>g</m:t>
                </m:r>
              </m:sub>
            </m:sSub>
          </m:e>
        </m:d>
        <m:r>
          <m:rPr>
            <m:sty m:val="p"/>
          </m:rPr>
          <m:t>∈</m:t>
        </m:r>
        <m:r>
          <m:t>L</m:t>
        </m:r>
        <m:d>
          <m:dPr>
            <m:begChr m:val="("/>
            <m:endChr m:val=")"/>
            <m:sepChr m:val=""/>
            <m:grow/>
          </m:dPr>
          <m:e>
            <m:r>
              <m:t>H</m:t>
            </m:r>
          </m:e>
        </m:d>
      </m:oMath>
      <w:r>
        <w:t xml:space="preserve">,</w:t>
      </w:r>
    </w:p>
    <w:p>
      <w:pPr>
        <w:pStyle w:val="BodyText"/>
      </w:pPr>
      <m:oMathPara>
        <m:oMathParaPr>
          <m:jc m:val="center"/>
        </m:oMathParaPr>
        <m:oMath>
          <m:r>
            <m:t>Θ</m:t>
          </m:r>
          <m:d>
            <m:dPr>
              <m:begChr m:val="("/>
              <m:endChr m:val=")"/>
              <m:sepChr m:val=""/>
              <m:grow/>
            </m:dPr>
            <m:e>
              <m:sSub>
                <m:e>
                  <m:r>
                    <m:t>A</m:t>
                  </m:r>
                </m:e>
                <m:sub>
                  <m:r>
                    <m:t>G</m:t>
                  </m:r>
                </m:sub>
              </m:sSub>
            </m:e>
          </m:d>
          <m:r>
            <m:rPr>
              <m:sty m:val="p"/>
            </m:rPr>
            <m:t>⊆</m:t>
          </m:r>
          <m:sSub>
            <m:e>
              <m:r>
                <m:t>A</m:t>
              </m:r>
            </m:e>
            <m:sub>
              <m:r>
                <m:t>G</m:t>
              </m:r>
            </m:sub>
          </m:sSub>
          <m:acc>
            <m:accPr>
              <m:chr m:val="‾"/>
            </m:accPr>
            <m:e>
              <m:r>
                <m:rPr>
                  <m:sty m:val="p"/>
                </m:rPr>
                <m:t>⊗</m:t>
              </m:r>
            </m:e>
          </m:acc>
          <m:r>
            <m:t>L</m:t>
          </m:r>
          <m:d>
            <m:dPr>
              <m:begChr m:val="("/>
              <m:endChr m:val=")"/>
              <m:sepChr m:val=""/>
              <m:grow/>
            </m:dPr>
            <m:e>
              <m:r>
                <m:t>H</m:t>
              </m:r>
            </m:e>
          </m:d>
          <m:r>
            <m:rPr>
              <m:sty m:val="p"/>
            </m:rPr>
            <m:t>.</m:t>
          </m:r>
        </m:oMath>
      </m:oMathPara>
    </w:p>
    <w:p>
      <w:pPr>
        <w:pStyle w:val="FirstParagraph"/>
      </w:pPr>
      <w:r>
        <w:t xml:space="preserve">Ioana’s Theorem 8.2 assumes, among other conditions, that the</w:t>
      </w:r>
      <w:r>
        <w:t xml:space="preserve"> </w:t>
      </w:r>
      <w:r>
        <w:rPr>
          <w:b/>
          <w:bCs/>
        </w:rPr>
        <w:t xml:space="preserve">full image</w:t>
      </w:r>
      <w:r>
        <w:t xml:space="preserve"> </w:t>
      </w:r>
      <m:oMath>
        <m:r>
          <m:t>Δ</m:t>
        </m:r>
        <m:d>
          <m:dPr>
            <m:begChr m:val="("/>
            <m:endChr m:val=")"/>
            <m:sepChr m:val=""/>
            <m:grow/>
          </m:dPr>
          <m:e>
            <m:r>
              <m:t>N</m:t>
            </m:r>
          </m:e>
        </m:d>
      </m:oMath>
      <w:r>
        <w:t xml:space="preserve"> </w:t>
      </w:r>
      <w:r>
        <w:t xml:space="preserve">does not intertwine into either</w:t>
      </w:r>
    </w:p>
    <w:p>
      <w:pPr>
        <w:pStyle w:val="BodyText"/>
      </w:pPr>
      <m:oMathPara>
        <m:oMathParaPr>
          <m:jc m:val="center"/>
        </m:oMathParaPr>
        <m:oMath>
          <m:r>
            <m:t>L</m:t>
          </m:r>
          <m:d>
            <m:dPr>
              <m:begChr m:val="("/>
              <m:endChr m:val=")"/>
              <m:sepChr m:val=""/>
              <m:grow/>
            </m:dPr>
            <m:e>
              <m:sSub>
                <m:e>
                  <m:r>
                    <m:t>Γ</m:t>
                  </m:r>
                </m:e>
                <m:sub>
                  <m:r>
                    <m:t>1</m:t>
                  </m:r>
                </m:sub>
              </m:sSub>
            </m:e>
          </m:d>
          <m:acc>
            <m:accPr>
              <m:chr m:val="‾"/>
            </m:accPr>
            <m:e>
              <m:r>
                <m:rPr>
                  <m:sty m:val="p"/>
                </m:rPr>
                <m:t>⊗</m:t>
              </m:r>
            </m:e>
          </m:acc>
          <m:sSub>
            <m:e>
              <m:r>
                <m:t>M</m:t>
              </m:r>
            </m:e>
            <m:sub>
              <m:r>
                <m:t>2</m:t>
              </m:r>
            </m:sub>
          </m:sSub>
          <m:r>
            <m:t> </m:t>
          </m:r>
          <m:r>
            <m:rPr>
              <m:nor/>
              <m:sty m:val="p"/>
            </m:rPr>
            <m:t>or</m:t>
          </m:r>
          <m:r>
            <m:t> </m:t>
          </m:r>
          <m:sSub>
            <m:e>
              <m:r>
                <m:t>M</m:t>
              </m:r>
            </m:e>
            <m:sub>
              <m:r>
                <m:t>1</m:t>
              </m:r>
            </m:sub>
          </m:sSub>
          <m:acc>
            <m:accPr>
              <m:chr m:val="‾"/>
            </m:accPr>
            <m:e>
              <m:r>
                <m:rPr>
                  <m:sty m:val="p"/>
                </m:rPr>
                <m:t>⊗</m:t>
              </m:r>
            </m:e>
          </m:acc>
          <m:r>
            <m:t>L</m:t>
          </m:r>
          <m:d>
            <m:dPr>
              <m:begChr m:val="("/>
              <m:endChr m:val=")"/>
              <m:sepChr m:val=""/>
              <m:grow/>
            </m:dPr>
            <m:e>
              <m:sSub>
                <m:e>
                  <m:r>
                    <m:t>Γ</m:t>
                  </m:r>
                </m:e>
                <m:sub>
                  <m:r>
                    <m:t>2</m:t>
                  </m:r>
                </m:sub>
              </m:sSub>
            </m:e>
          </m:d>
          <m:r>
            <m:rPr>
              <m:sty m:val="p"/>
            </m:rPr>
            <m:t>.</m:t>
          </m:r>
        </m:oMath>
      </m:oMathPara>
    </w:p>
    <w:p>
      <w:pPr>
        <w:pStyle w:val="FirstParagraph"/>
      </w:pPr>
      <w:r>
        <w:t xml:space="preserve">In Nielsen’s application, the second forbidden algebra is exactly</w:t>
      </w:r>
      <w:r>
        <w:t xml:space="preserve"> </w:t>
      </w:r>
      <m:oMath>
        <m:sSub>
          <m:e>
            <m:r>
              <m:t>A</m:t>
            </m:r>
          </m:e>
          <m:sub>
            <m:r>
              <m:t>G</m:t>
            </m:r>
          </m:sub>
        </m:sSub>
        <m:acc>
          <m:accPr>
            <m:chr m:val="‾"/>
          </m:accPr>
          <m:e>
            <m:r>
              <m:rPr>
                <m:sty m:val="p"/>
              </m:rPr>
              <m:t>⊗</m:t>
            </m:r>
          </m:e>
        </m:acc>
        <m:r>
          <m:t>L</m:t>
        </m:r>
        <m:d>
          <m:dPr>
            <m:begChr m:val="("/>
            <m:endChr m:val=")"/>
            <m:sepChr m:val=""/>
            <m:grow/>
          </m:dPr>
          <m:e>
            <m:r>
              <m:t>H</m:t>
            </m:r>
          </m:e>
        </m:d>
      </m:oMath>
      <w:r>
        <w:t xml:space="preserve"> </w:t>
      </w:r>
      <w:r>
        <w:t xml:space="preserve">[9].</w:t>
      </w:r>
    </w:p>
    <w:p>
      <w:pPr>
        <w:pStyle w:val="BodyText"/>
      </w:pPr>
      <w:r>
        <w:t xml:space="preserve">Popa intertwining</w:t>
      </w:r>
      <w:r>
        <w:t xml:space="preserve"> </w:t>
      </w:r>
      <m:oMath>
        <m:r>
          <m:t>P</m:t>
        </m:r>
        <m:sSub>
          <m:e>
            <m:r>
              <m:rPr>
                <m:sty m:val="p"/>
              </m:rPr>
              <m:t>≺</m:t>
            </m:r>
          </m:e>
          <m:sub>
            <m:r>
              <m:t>M</m:t>
            </m:r>
          </m:sub>
        </m:sSub>
        <m:r>
          <m:t>Q</m:t>
        </m:r>
      </m:oMath>
      <w:r>
        <w:t xml:space="preserve"> </w:t>
      </w:r>
      <w:r>
        <w:t xml:space="preserve">asks whether a nonzero corner of</w:t>
      </w:r>
      <w:r>
        <w:t xml:space="preserve"> </w:t>
      </w:r>
      <m:oMath>
        <m:r>
          <m:t>P</m:t>
        </m:r>
      </m:oMath>
      <w:r>
        <w:t xml:space="preserve"> </w:t>
      </w:r>
      <w:r>
        <w:t xml:space="preserve">can be mapped into a corner of</w:t>
      </w:r>
      <w:r>
        <w:t xml:space="preserve"> </w:t>
      </w:r>
      <m:oMath>
        <m:r>
          <m:t>Q</m:t>
        </m:r>
      </m:oMath>
      <w:r>
        <w:t xml:space="preserve"> </w:t>
      </w:r>
      <w:r>
        <w:t xml:space="preserve">and implemented by a partial isometry in</w:t>
      </w:r>
      <w:r>
        <w:t xml:space="preserve"> </w:t>
      </w:r>
      <m:oMath>
        <m:r>
          <m:t>M</m:t>
        </m:r>
      </m:oMath>
      <w:r>
        <w:t xml:space="preserve">. If</w:t>
      </w:r>
      <w:r>
        <w:t xml:space="preserve"> </w:t>
      </w:r>
      <m:oMath>
        <m:r>
          <m:t>P</m:t>
        </m:r>
        <m:r>
          <m:rPr>
            <m:sty m:val="p"/>
          </m:rPr>
          <m:t>⊆</m:t>
        </m:r>
        <m:r>
          <m:t>Q</m:t>
        </m:r>
      </m:oMath>
      <w:r>
        <w:t xml:space="preserve">, the condition is immediate: take the inclusion on an identity corner and the identity partial isometry. Literal containment is stronger than intertwining [19].</w:t>
      </w:r>
    </w:p>
    <w:p>
      <w:pPr>
        <w:pStyle w:val="BodyText"/>
      </w:pPr>
      <w:r>
        <w:t xml:space="preserve">Therefore</w:t>
      </w:r>
    </w:p>
    <w:p>
      <w:pPr>
        <w:pStyle w:val="BodyText"/>
      </w:pPr>
      <m:oMathPara>
        <m:oMathParaPr>
          <m:jc m:val="center"/>
        </m:oMathParaPr>
        <m:oMath>
          <m:r>
            <m:t>Θ</m:t>
          </m:r>
          <m:d>
            <m:dPr>
              <m:begChr m:val="("/>
              <m:endChr m:val=")"/>
              <m:sepChr m:val=""/>
              <m:grow/>
            </m:dPr>
            <m:e>
              <m:sSub>
                <m:e>
                  <m:r>
                    <m:t>A</m:t>
                  </m:r>
                </m:e>
                <m:sub>
                  <m:r>
                    <m:t>G</m:t>
                  </m:r>
                </m:sub>
              </m:sSub>
            </m:e>
          </m:d>
          <m:sSub>
            <m:e>
              <m:r>
                <m:rPr>
                  <m:sty m:val="p"/>
                </m:rPr>
                <m:t>≺</m:t>
              </m:r>
            </m:e>
            <m:sub>
              <m:sSub>
                <m:e>
                  <m:r>
                    <m:t>A</m:t>
                  </m:r>
                </m:e>
                <m:sub>
                  <m:r>
                    <m:t>G</m:t>
                  </m:r>
                </m:sub>
              </m:sSub>
              <m:acc>
                <m:accPr>
                  <m:chr m:val="‾"/>
                </m:accPr>
                <m:e>
                  <m:r>
                    <m:rPr>
                      <m:sty m:val="p"/>
                    </m:rPr>
                    <m:t>⊗</m:t>
                  </m:r>
                </m:e>
              </m:acc>
              <m:sSub>
                <m:e>
                  <m:r>
                    <m:t>A</m:t>
                  </m:r>
                </m:e>
                <m:sub>
                  <m:r>
                    <m:t>H</m:t>
                  </m:r>
                </m:sub>
              </m:sSub>
            </m:sub>
          </m:sSub>
          <m:sSub>
            <m:e>
              <m:r>
                <m:t>A</m:t>
              </m:r>
            </m:e>
            <m:sub>
              <m:r>
                <m:t>G</m:t>
              </m:r>
            </m:sub>
          </m:sSub>
          <m:acc>
            <m:accPr>
              <m:chr m:val="‾"/>
            </m:accPr>
            <m:e>
              <m:r>
                <m:rPr>
                  <m:sty m:val="p"/>
                </m:rPr>
                <m:t>⊗</m:t>
              </m:r>
            </m:e>
          </m:acc>
          <m:r>
            <m:t>L</m:t>
          </m:r>
          <m:d>
            <m:dPr>
              <m:begChr m:val="("/>
              <m:endChr m:val=")"/>
              <m:sepChr m:val=""/>
              <m:grow/>
            </m:dPr>
            <m:e>
              <m:r>
                <m:t>H</m:t>
              </m:r>
            </m:e>
          </m:d>
        </m:oMath>
      </m:oMathPara>
    </w:p>
    <w:p>
      <w:pPr>
        <w:pStyle w:val="FirstParagraph"/>
      </w:pPr>
      <w:r>
        <w:t xml:space="preserve">holds before any spectral-gap argument begins. The hypothesis required for the group-like conclusion fails by construction.</w:t>
      </w:r>
    </w:p>
    <w:bookmarkEnd w:id="45"/>
    <w:bookmarkStart w:id="46" w:name="Xfc068c82c4a2e10b3c72e7252f2567ce48e2dee"/>
    <w:p>
      <w:pPr>
        <w:pStyle w:val="Heading3"/>
        <w:jc w:val="left"/>
        <w:keepNext/>
        <w:keepLines/>
      </w:pPr>
      <w:r>
        <w:t xml:space="preserve">6.3 The manuscript’s Cartan clarification contradicts the theorem</w:t>
      </w:r>
    </w:p>
    <w:p>
      <w:pPr>
        <w:pStyle w:val="FirstParagraph"/>
      </w:pPr>
      <w:r>
        <w:t xml:space="preserve">Version 47 acknowledges the containment but says it is irrelevant because the non-intertwining verification</w:t>
      </w:r>
      <w:r>
        <w:t xml:space="preserve"> </w:t>
      </w:r>
      <w:r>
        <w:t xml:space="preserve">“</w:t>
      </w:r>
      <w:r>
        <w:t xml:space="preserve">targets the Cartan subalgebra</w:t>
      </w:r>
      <w:r>
        <w:t xml:space="preserve">”</w:t>
      </w:r>
      <w:r>
        <w:t xml:space="preserve"> </w:t>
      </w:r>
      <m:oMath>
        <m:r>
          <m:t>Θ</m:t>
        </m:r>
        <m:d>
          <m:dPr>
            <m:begChr m:val="("/>
            <m:endChr m:val=")"/>
            <m:sepChr m:val=""/>
            <m:grow/>
          </m:dPr>
          <m:e>
            <m:sSup>
              <m:e>
                <m:r>
                  <m:t>L</m:t>
                </m:r>
              </m:e>
              <m:sup>
                <m:r>
                  <m:rPr>
                    <m:sty m:val="p"/>
                  </m:rPr>
                  <m:t>∞</m:t>
                </m:r>
              </m:sup>
            </m:sSup>
            <m:d>
              <m:dPr>
                <m:begChr m:val="("/>
                <m:endChr m:val=")"/>
                <m:sepChr m:val=""/>
                <m:grow/>
              </m:dPr>
              <m:e>
                <m:r>
                  <m:t>X</m:t>
                </m:r>
              </m:e>
            </m:d>
          </m:e>
        </m:d>
      </m:oMath>
      <w:r>
        <w:t xml:space="preserve">, not the full image</w:t>
      </w:r>
      <w:r>
        <w:t xml:space="preserve"> </w:t>
      </w:r>
      <m:oMath>
        <m:r>
          <m:t>Θ</m:t>
        </m:r>
        <m:d>
          <m:dPr>
            <m:begChr m:val="("/>
            <m:endChr m:val=")"/>
            <m:sepChr m:val=""/>
            <m:grow/>
          </m:dPr>
          <m:e>
            <m:sSub>
              <m:e>
                <m:r>
                  <m:t>A</m:t>
                </m:r>
              </m:e>
              <m:sub>
                <m:r>
                  <m:t>G</m:t>
                </m:r>
              </m:sub>
            </m:sSub>
          </m:e>
        </m:d>
      </m:oMath>
      <w:r>
        <w:t xml:space="preserve"> </w:t>
      </w:r>
      <w:r>
        <w:t xml:space="preserve">[1, pp. 23-24]. That response does not match the theorem. Ioana’s condition (2) is printed on</w:t>
      </w:r>
      <w:r>
        <w:t xml:space="preserve"> </w:t>
      </w:r>
      <m:oMath>
        <m:r>
          <m:t>Δ</m:t>
        </m:r>
        <m:d>
          <m:dPr>
            <m:begChr m:val="("/>
            <m:endChr m:val=")"/>
            <m:sepChr m:val=""/>
            <m:grow/>
          </m:dPr>
          <m:e>
            <m:r>
              <m:t>N</m:t>
            </m:r>
          </m:e>
        </m:d>
      </m:oMath>
      <w:r>
        <w:t xml:space="preserve">, the full image, not merely on the Cartan [9].</w:t>
      </w:r>
    </w:p>
    <w:p>
      <w:pPr>
        <w:pStyle w:val="BodyText"/>
      </w:pPr>
      <w:r>
        <w:t xml:space="preserve">The distinction between the Cartan and the group algebra may be crucial inside Ioana’s proof. It does not rewrite the hypothesis. Showing</w:t>
      </w:r>
    </w:p>
    <w:p>
      <w:pPr>
        <w:pStyle w:val="BodyText"/>
      </w:pPr>
      <m:oMathPara>
        <m:oMathParaPr>
          <m:jc m:val="center"/>
        </m:oMathParaPr>
        <m:oMath>
          <m:sSup>
            <m:e>
              <m:r>
                <m:t>L</m:t>
              </m:r>
            </m:e>
            <m:sup>
              <m:r>
                <m:rPr>
                  <m:sty m:val="p"/>
                </m:rPr>
                <m:t>∞</m:t>
              </m:r>
            </m:sup>
          </m:sSup>
          <m:d>
            <m:dPr>
              <m:begChr m:val="("/>
              <m:endChr m:val=")"/>
              <m:sepChr m:val=""/>
              <m:grow/>
            </m:dPr>
            <m:e>
              <m:r>
                <m:t>X</m:t>
              </m:r>
            </m:e>
          </m:d>
          <m:sSub>
            <m:e>
              <m:r>
                <m:rPr>
                  <m:sty m:val="p"/>
                </m:rPr>
                <m:t>⊀</m:t>
              </m:r>
            </m:e>
            <m:sub>
              <m:sSub>
                <m:e>
                  <m:r>
                    <m:t>A</m:t>
                  </m:r>
                </m:e>
                <m:sub>
                  <m:r>
                    <m:t>G</m:t>
                  </m:r>
                </m:sub>
              </m:sSub>
            </m:sub>
          </m:sSub>
          <m:r>
            <m:t>L</m:t>
          </m:r>
          <m:d>
            <m:dPr>
              <m:begChr m:val="("/>
              <m:endChr m:val=")"/>
              <m:sepChr m:val=""/>
              <m:grow/>
            </m:dPr>
            <m:e>
              <m:r>
                <m:t>G</m:t>
              </m:r>
            </m:e>
          </m:d>
        </m:oMath>
      </m:oMathPara>
    </w:p>
    <w:p>
      <w:pPr>
        <w:pStyle w:val="FirstParagraph"/>
      </w:pPr>
      <w:r>
        <w:t xml:space="preserve">cannot undo</w:t>
      </w:r>
    </w:p>
    <w:p>
      <w:pPr>
        <w:pStyle w:val="BodyText"/>
      </w:pPr>
      <m:oMathPara>
        <m:oMathParaPr>
          <m:jc m:val="center"/>
        </m:oMathParaPr>
        <m:oMath>
          <m:r>
            <m:t>Θ</m:t>
          </m:r>
          <m:d>
            <m:dPr>
              <m:begChr m:val="("/>
              <m:endChr m:val=")"/>
              <m:sepChr m:val=""/>
              <m:grow/>
            </m:dPr>
            <m:e>
              <m:sSub>
                <m:e>
                  <m:r>
                    <m:t>A</m:t>
                  </m:r>
                </m:e>
                <m:sub>
                  <m:r>
                    <m:t>G</m:t>
                  </m:r>
                </m:sub>
              </m:sSub>
            </m:e>
          </m:d>
          <m:r>
            <m:rPr>
              <m:sty m:val="p"/>
            </m:rPr>
            <m:t>⊆</m:t>
          </m:r>
          <m:sSub>
            <m:e>
              <m:r>
                <m:t>A</m:t>
              </m:r>
            </m:e>
            <m:sub>
              <m:r>
                <m:t>G</m:t>
              </m:r>
            </m:sub>
          </m:sSub>
          <m:acc>
            <m:accPr>
              <m:chr m:val="‾"/>
            </m:accPr>
            <m:e>
              <m:r>
                <m:rPr>
                  <m:sty m:val="p"/>
                </m:rPr>
                <m:t>⊗</m:t>
              </m:r>
            </m:e>
          </m:acc>
          <m:r>
            <m:t>L</m:t>
          </m:r>
          <m:d>
            <m:dPr>
              <m:begChr m:val="("/>
              <m:endChr m:val=")"/>
              <m:sepChr m:val=""/>
              <m:grow/>
            </m:dPr>
            <m:e>
              <m:r>
                <m:t>H</m:t>
              </m:r>
            </m:e>
          </m:d>
          <m:r>
            <m:rPr>
              <m:sty m:val="p"/>
            </m:rPr>
            <m:t>.</m:t>
          </m:r>
        </m:oMath>
      </m:oMathPara>
    </w:p>
    <w:p>
      <w:pPr>
        <w:pStyle w:val="FirstParagraph"/>
      </w:pPr>
      <w:r>
        <w:t xml:space="preserve">The manuscript’s symmetric argument fares no better. A theorem cannot be entered by verifying a related statement about a subalgebra while the actual full-image condition fails openly.</w:t>
      </w:r>
    </w:p>
    <w:bookmarkEnd w:id="46"/>
    <w:bookmarkStart w:id="47" w:name="section-9-is-not-a-hidden-trapdoor"/>
    <w:p>
      <w:pPr>
        <w:pStyle w:val="Heading3"/>
        <w:jc w:val="left"/>
        <w:keepNext/>
        <w:keepLines/>
      </w:pPr>
      <w:r>
        <w:t xml:space="preserve">6.4 Section 9 is not a hidden trapdoor</w:t>
      </w:r>
    </w:p>
    <w:p>
      <w:pPr>
        <w:pStyle w:val="FirstParagraph"/>
      </w:pPr>
      <w:r>
        <w:t xml:space="preserve">Remark 18 then says the group morphisms arise through the</w:t>
      </w:r>
      <w:r>
        <w:t xml:space="preserve"> </w:t>
      </w:r>
      <w:r>
        <w:t xml:space="preserve">“</w:t>
      </w:r>
      <w:r>
        <w:t xml:space="preserve">full Section 9 pipeline,</w:t>
      </w:r>
      <w:r>
        <w:t xml:space="preserve">”</w:t>
      </w:r>
      <w:r>
        <w:t xml:space="preserve"> </w:t>
      </w:r>
      <w:r>
        <w:t xml:space="preserve">not Theorem 8.2 in isolation, citing Lemma 9.2(4) and Case (5) [1, pp. 21-24]. Section 9 does not supply the missing bridge.</w:t>
      </w:r>
    </w:p>
    <w:p>
      <w:pPr>
        <w:pStyle w:val="BodyText"/>
      </w:pPr>
      <w:r>
        <w:t xml:space="preserve">Ioana’s Theorem 9.1 starts with an isomorphism</w:t>
      </w:r>
    </w:p>
    <w:p>
      <w:pPr>
        <w:pStyle w:val="BodyText"/>
      </w:pPr>
      <m:oMathPara>
        <m:oMathParaPr>
          <m:jc m:val="center"/>
        </m:oMathParaPr>
        <m:oMath>
          <m:r>
            <m:t>θ</m:t>
          </m:r>
          <m:r>
            <m:rPr>
              <m:sty m:val="p"/>
            </m:rPr>
            <m:t>:</m:t>
          </m:r>
          <m:r>
            <m:t>N</m:t>
          </m:r>
          <m:r>
            <m:rPr>
              <m:sty m:val="p"/>
            </m:rPr>
            <m:t>=</m:t>
          </m:r>
          <m:r>
            <m:t>C</m:t>
          </m:r>
          <m:r>
            <m:rPr>
              <m:sty m:val="p"/>
            </m:rPr>
            <m:t>⋊</m:t>
          </m:r>
          <m:r>
            <m:t>Λ</m:t>
          </m:r>
          <m:r>
            <m:rPr>
              <m:sty m:val="p"/>
            </m:rPr>
            <m:t>→</m:t>
          </m:r>
          <m:r>
            <m:t>q</m:t>
          </m:r>
          <m:r>
            <m:t>M</m:t>
          </m:r>
          <m:r>
            <m:t>q</m:t>
          </m:r>
        </m:oMath>
      </m:oMathPara>
    </w:p>
    <w:p>
      <w:pPr>
        <w:pStyle w:val="FirstParagraph"/>
      </w:pPr>
      <w:r>
        <w:t xml:space="preserve">between group-measure-space crossed products. From the second crossed-product decomposition, it builds the canonical comultiplication</w:t>
      </w:r>
    </w:p>
    <w:p>
      <w:pPr>
        <w:pStyle w:val="BodyText"/>
      </w:pPr>
      <m:oMathPara>
        <m:oMathParaPr>
          <m:jc m:val="center"/>
        </m:oMathParaPr>
        <m:oMath>
          <m:r>
            <m:t>Δ</m:t>
          </m:r>
          <m:d>
            <m:dPr>
              <m:begChr m:val="("/>
              <m:endChr m:val=")"/>
              <m:sepChr m:val=""/>
              <m:grow/>
            </m:dPr>
            <m:e>
              <m:r>
                <m:t>c</m:t>
              </m:r>
              <m:sSub>
                <m:e>
                  <m:r>
                    <m:t>v</m:t>
                  </m:r>
                </m:e>
                <m:sub>
                  <m:r>
                    <m:t>λ</m:t>
                  </m:r>
                </m:sub>
              </m:sSub>
            </m:e>
          </m:d>
          <m:r>
            <m:rPr>
              <m:sty m:val="p"/>
            </m:rPr>
            <m:t>=</m:t>
          </m:r>
          <m:r>
            <m:t>c</m:t>
          </m:r>
          <m:sSub>
            <m:e>
              <m:r>
                <m:t>v</m:t>
              </m:r>
            </m:e>
            <m:sub>
              <m:r>
                <m:t>λ</m:t>
              </m:r>
            </m:sub>
          </m:sSub>
          <m:r>
            <m:rPr>
              <m:sty m:val="p"/>
            </m:rPr>
            <m:t>⊗</m:t>
          </m:r>
          <m:sSub>
            <m:e>
              <m:r>
                <m:t>v</m:t>
              </m:r>
            </m:e>
            <m:sub>
              <m:r>
                <m:t>λ</m:t>
              </m:r>
            </m:sub>
          </m:sSub>
          <m:r>
            <m:rPr>
              <m:sty m:val="p"/>
            </m:rPr>
            <m:t>.</m:t>
          </m:r>
        </m:oMath>
      </m:oMathPara>
    </w:p>
    <w:p>
      <w:pPr>
        <w:pStyle w:val="FirstParagraph"/>
      </w:pPr>
      <w:r>
        <w:t xml:space="preserve">The Fourier skew between two decompositions of the same ambient factor is the engine of Lemma 9.2 and the later case analysis [9].</w:t>
      </w:r>
    </w:p>
    <w:p>
      <w:pPr>
        <w:pStyle w:val="BodyText"/>
      </w:pPr>
      <w:r>
        <w:t xml:space="preserve">Nielsen has only an isomorphism between bare group factors,</w:t>
      </w:r>
    </w:p>
    <w:p>
      <w:pPr>
        <w:pStyle w:val="BodyText"/>
      </w:pPr>
      <m:oMathPara>
        <m:oMathParaPr>
          <m:jc m:val="center"/>
        </m:oMathParaPr>
        <m:oMath>
          <m:r>
            <m:t>Φ</m:t>
          </m:r>
          <m:r>
            <m:rPr>
              <m:sty m:val="p"/>
            </m:rPr>
            <m:t>:</m:t>
          </m:r>
          <m:r>
            <m:t>L</m:t>
          </m:r>
          <m:d>
            <m:dPr>
              <m:begChr m:val="("/>
              <m:endChr m:val=")"/>
              <m:sepChr m:val=""/>
              <m:grow/>
            </m:dPr>
            <m:e>
              <m:r>
                <m:t>G</m:t>
              </m:r>
            </m:e>
          </m:d>
          <m:r>
            <m:rPr>
              <m:sty m:val="p"/>
            </m:rPr>
            <m:t>≅</m:t>
          </m:r>
          <m:r>
            <m:t>L</m:t>
          </m:r>
          <m:d>
            <m:dPr>
              <m:begChr m:val="("/>
              <m:endChr m:val=")"/>
              <m:sepChr m:val=""/>
              <m:grow/>
            </m:dPr>
            <m:e>
              <m:r>
                <m:t>H</m:t>
              </m:r>
            </m:e>
          </m:d>
          <m:r>
            <m:rPr>
              <m:sty m:val="p"/>
            </m:rPr>
            <m:t>.</m:t>
          </m:r>
        </m:oMath>
      </m:oMathPara>
    </w:p>
    <w:p>
      <w:pPr>
        <w:pStyle w:val="FirstParagraph"/>
      </w:pPr>
      <w:r>
        <w:t xml:space="preserve">She does not construct an isomorphism</w:t>
      </w:r>
      <w:r>
        <w:t xml:space="preserve"> </w:t>
      </w:r>
      <m:oMath>
        <m:sSub>
          <m:e>
            <m:r>
              <m:t>A</m:t>
            </m:r>
          </m:e>
          <m:sub>
            <m:r>
              <m:t>G</m:t>
            </m:r>
          </m:sub>
        </m:sSub>
        <m:r>
          <m:rPr>
            <m:sty m:val="p"/>
          </m:rPr>
          <m:t>≅</m:t>
        </m:r>
        <m:sSub>
          <m:e>
            <m:r>
              <m:t>A</m:t>
            </m:r>
          </m:e>
          <m:sub>
            <m:r>
              <m:t>H</m:t>
            </m:r>
          </m:sub>
        </m:sSub>
      </m:oMath>
      <w:r>
        <w:t xml:space="preserve"> </w:t>
      </w:r>
      <w:r>
        <w:t xml:space="preserve">between the Bernoulli crossed products, nor two crossed-product decompositions of one factor. Her second leg</w:t>
      </w:r>
      <w:r>
        <w:t xml:space="preserve"> </w:t>
      </w:r>
      <m:oMath>
        <m:r>
          <m:t>Φ</m:t>
        </m:r>
        <m:d>
          <m:dPr>
            <m:begChr m:val="("/>
            <m:endChr m:val=")"/>
            <m:sepChr m:val=""/>
            <m:grow/>
          </m:dPr>
          <m:e>
            <m:sSub>
              <m:e>
                <m:r>
                  <m:t>u</m:t>
                </m:r>
              </m:e>
              <m:sub>
                <m:r>
                  <m:t>g</m:t>
                </m:r>
              </m:sub>
            </m:sSub>
          </m:e>
        </m:d>
      </m:oMath>
      <w:r>
        <w:t xml:space="preserve"> </w:t>
      </w:r>
      <w:r>
        <w:t xml:space="preserve">sits inside the group-algebra leg by definition. The special Section 9 estimates cannot be imported merely by calling</w:t>
      </w:r>
      <w:r>
        <w:t xml:space="preserve"> </w:t>
      </w:r>
      <m:oMath>
        <m:r>
          <m:t>Θ</m:t>
        </m:r>
      </m:oMath>
      <w:r>
        <w:t xml:space="preserve"> </w:t>
      </w:r>
      <w:r>
        <w:t xml:space="preserve">a co-action.</w:t>
      </w:r>
    </w:p>
    <w:p>
      <w:pPr>
        <w:pStyle w:val="BodyText"/>
      </w:pPr>
      <w:r>
        <w:t xml:space="preserve">The sanity check is historical as well as formal. If an arbitrary group-factor isomorphism could be lifted to this pipeline and converted into a group homomorphism by two pages of Bernoulli scaffolding, Connes’ conjecture would have been a near-immediate consequence of machinery available since 2011. The substantial later literature exists because the height and conjugacy problems are not so cheaply bypassed.</w:t>
      </w:r>
    </w:p>
    <w:bookmarkEnd w:id="47"/>
    <w:bookmarkStart w:id="48" w:name="torsion-changes-the-conclusion"/>
    <w:p>
      <w:pPr>
        <w:pStyle w:val="Heading3"/>
        <w:jc w:val="left"/>
        <w:keepNext/>
        <w:keepLines/>
      </w:pPr>
      <w:r>
        <w:t xml:space="preserve">6.5 Torsion changes the conclusion</w:t>
      </w:r>
    </w:p>
    <w:p>
      <w:pPr>
        <w:pStyle w:val="FirstParagraph"/>
      </w:pPr>
      <w:r>
        <w:t xml:space="preserve">Ioana’s Theorem 8.2 has two conclusion branches [9]. In the torsion-free target case, it gives a genuine global homomorphism</w:t>
      </w:r>
    </w:p>
    <w:p>
      <w:pPr>
        <w:pStyle w:val="BodyText"/>
      </w:pPr>
      <m:oMathPara>
        <m:oMathParaPr>
          <m:jc m:val="center"/>
        </m:oMathParaPr>
        <m:oMath>
          <m:r>
            <m:t>δ</m:t>
          </m:r>
          <m:r>
            <m:rPr>
              <m:sty m:val="p"/>
            </m:rPr>
            <m:t>:</m:t>
          </m:r>
          <m:r>
            <m:t>Λ</m:t>
          </m:r>
          <m:r>
            <m:rPr>
              <m:sty m:val="p"/>
            </m:rPr>
            <m:t>→</m:t>
          </m:r>
          <m:sSub>
            <m:e>
              <m:r>
                <m:t>Γ</m:t>
              </m:r>
            </m:e>
            <m:sub>
              <m:r>
                <m:t>1</m:t>
              </m:r>
            </m:sub>
          </m:sSub>
          <m:r>
            <m:rPr>
              <m:sty m:val="p"/>
            </m:rPr>
            <m:t>×</m:t>
          </m:r>
          <m:sSub>
            <m:e>
              <m:r>
                <m:t>Γ</m:t>
              </m:r>
            </m:e>
            <m:sub>
              <m:r>
                <m:t>2</m:t>
              </m:r>
            </m:sub>
          </m:sSub>
          <m:r>
            <m:rPr>
              <m:sty m:val="p"/>
            </m:rPr>
            <m:t>.</m:t>
          </m:r>
        </m:oMath>
      </m:oMathPara>
    </w:p>
    <w:p>
      <w:pPr>
        <w:pStyle w:val="FirstParagraph"/>
      </w:pPr>
      <w:r>
        <w:t xml:space="preserve">In the general case, it gives a finite-index subgroup, a one-to-one map, and a multiplicative defect contained in a finite subgroup. It is not the global pair of homomorphisms</w:t>
      </w:r>
      <w:r>
        <w:t xml:space="preserve"> </w:t>
      </w:r>
      <m:oMath>
        <m:sSub>
          <m:e>
            <m:r>
              <m:t>δ</m:t>
            </m:r>
          </m:e>
          <m:sub>
            <m:r>
              <m:t>1</m:t>
            </m:r>
          </m:sub>
        </m:sSub>
        <m:r>
          <m:rPr>
            <m:sty m:val="p"/>
          </m:rPr>
          <m:t>:</m:t>
        </m:r>
        <m:r>
          <m:t>G</m:t>
        </m:r>
        <m:r>
          <m:rPr>
            <m:sty m:val="p"/>
          </m:rPr>
          <m:t>→</m:t>
        </m:r>
        <m:r>
          <m:t>G</m:t>
        </m:r>
      </m:oMath>
      <w:r>
        <w:t xml:space="preserve"> </w:t>
      </w:r>
      <w:r>
        <w:t xml:space="preserve">and</w:t>
      </w:r>
      <w:r>
        <w:t xml:space="preserve"> </w:t>
      </w:r>
      <m:oMath>
        <m:sSub>
          <m:e>
            <m:r>
              <m:t>δ</m:t>
            </m:r>
          </m:e>
          <m:sub>
            <m:r>
              <m:t>2</m:t>
            </m:r>
          </m:sub>
        </m:sSub>
        <m:r>
          <m:rPr>
            <m:sty m:val="p"/>
          </m:rPr>
          <m:t>:</m:t>
        </m:r>
        <m:r>
          <m:t>G</m:t>
        </m:r>
        <m:r>
          <m:rPr>
            <m:sty m:val="p"/>
          </m:rPr>
          <m:t>→</m:t>
        </m:r>
        <m:r>
          <m:t>H</m:t>
        </m:r>
      </m:oMath>
      <w:r>
        <w:t xml:space="preserve"> </w:t>
      </w:r>
      <w:r>
        <w:t xml:space="preserve">that Nielsen uses throughout.</w:t>
      </w:r>
    </w:p>
    <w:p>
      <w:pPr>
        <w:pStyle w:val="BodyText"/>
      </w:pPr>
      <w:r>
        <w:t xml:space="preserve">Version 47 says torsion does not affect the classification and claims the theorem produces genuine full-group morphisms [1, pp. 14-15]. That is contradicted by the printed theorem. Its fallback also says the Bockstein class stays nonzero on the relevant finite-index subgroup. The Anthropic preprint itself supplies a counterexample to that blanket assertion: on the finite-index Igusa theta group,</w:t>
      </w:r>
      <w:r>
        <w:t xml:space="preserve"> </w:t>
      </w:r>
      <m:oMath>
        <m:r>
          <m:t>W</m:t>
        </m:r>
        <m:d>
          <m:dPr>
            <m:begChr m:val="("/>
            <m:endChr m:val=")"/>
            <m:sepChr m:val=""/>
            <m:grow/>
          </m:dPr>
          <m:e>
            <m:r>
              <m:t>g</m:t>
            </m:r>
          </m:e>
        </m:d>
      </m:oMath>
      <w:r>
        <w:t xml:space="preserve"> </w:t>
      </w:r>
      <w:r>
        <w:t xml:space="preserve">is even, so</w:t>
      </w:r>
      <w:r>
        <w:t xml:space="preserve"> </w:t>
      </w:r>
      <m:oMath>
        <m:r>
          <m:t>τ</m:t>
        </m:r>
        <m:r>
          <m:rPr>
            <m:sty m:val="p"/>
          </m:rPr>
          <m:t>=</m:t>
        </m:r>
        <m:r>
          <m:rPr>
            <m:sty m:val="p"/>
          </m:rPr>
          <m:t>∂</m:t>
        </m:r>
        <m:d>
          <m:dPr>
            <m:begChr m:val="("/>
            <m:endChr m:val=")"/>
            <m:sepChr m:val=""/>
            <m:grow/>
          </m:dPr>
          <m:e>
            <m:f>
              <m:fPr>
                <m:type m:val="lin"/>
              </m:fPr>
              <m:num>
                <m:r>
                  <m:t>1</m:t>
                </m:r>
              </m:num>
              <m:den>
                <m:r>
                  <m:t>2</m:t>
                </m:r>
              </m:den>
            </m:f>
            <m:r>
              <m:t>W</m:t>
            </m:r>
          </m:e>
        </m:d>
      </m:oMath>
      <w:r>
        <w:t xml:space="preserve"> </w:t>
      </w:r>
      <w:r>
        <w:t xml:space="preserve">is a coboundary, and the split and twisted groups share a finite-index subgroup [7].</w:t>
      </w:r>
    </w:p>
    <w:p>
      <w:pPr>
        <w:pStyle w:val="BodyText"/>
      </w:pPr>
      <w:r>
        <w:t xml:space="preserve">Even if the containment failure vanished, the all-groups conclusion would still require a new argument.</w:t>
      </w:r>
    </w:p>
    <w:bookmarkEnd w:id="48"/>
    <w:bookmarkEnd w:id="49"/>
    <w:bookmarkStart w:id="53" w:name="Xd2bd49894e7da593908ca76d096ab618aa4191c"/>
    <w:p>
      <w:pPr>
        <w:pStyle w:val="Heading2"/>
        <w:jc w:val="left"/>
        <w:keepNext/>
        <w:keepLines/>
      </w:pPr>
      <w:r>
        <w:t xml:space="preserve">7. Injectivity, surjectivity, and the formal appendix</w:t>
      </w:r>
    </w:p>
    <w:bookmarkStart w:id="50" w:name="Xa62a355f2b81e33d70f9df301ae76a0d7bace08"/>
    <w:p>
      <w:pPr>
        <w:pStyle w:val="Heading3"/>
        <w:jc w:val="left"/>
        <w:keepNext/>
        <w:keepLines/>
      </w:pPr>
      <w:r>
        <w:t xml:space="preserve">7.1 Injectivity of</w:t>
      </w:r>
      <w:r>
        <w:t xml:space="preserve"> </w:t>
      </w:r>
      <m:oMath>
        <m:r>
          <m:t>δ</m:t>
        </m:r>
      </m:oMath>
      <w:r>
        <w:t xml:space="preserve"> </w:t>
      </w:r>
      <w:r>
        <w:t xml:space="preserve">does not automatically give injectivity of</w:t>
      </w:r>
      <w:r>
        <w:t xml:space="preserve"> </w:t>
      </w:r>
      <m:oMath>
        <m:sSub>
          <m:e>
            <m:r>
              <m:t>δ</m:t>
            </m:r>
          </m:e>
          <m:sub>
            <m:r>
              <m:t>2</m:t>
            </m:r>
          </m:sub>
        </m:sSub>
      </m:oMath>
    </w:p>
    <w:p>
      <w:pPr>
        <w:pStyle w:val="FirstParagraph"/>
      </w:pPr>
      <w:r>
        <w:t xml:space="preserve">Suppose, contrary to the previous section, a map</w:t>
      </w:r>
    </w:p>
    <w:p>
      <w:pPr>
        <w:pStyle w:val="BodyText"/>
      </w:pPr>
      <m:oMathPara>
        <m:oMathParaPr>
          <m:jc m:val="center"/>
        </m:oMathParaPr>
        <m:oMath>
          <m:r>
            <m:t>δ</m:t>
          </m:r>
          <m:r>
            <m:rPr>
              <m:sty m:val="p"/>
            </m:rPr>
            <m:t>=</m:t>
          </m:r>
          <m:d>
            <m:dPr>
              <m:begChr m:val="("/>
              <m:endChr m:val=")"/>
              <m:sepChr m:val=""/>
              <m:grow/>
            </m:dPr>
            <m:e>
              <m:sSub>
                <m:e>
                  <m:r>
                    <m:t>δ</m:t>
                  </m:r>
                </m:e>
                <m:sub>
                  <m:r>
                    <m:t>1</m:t>
                  </m:r>
                </m:sub>
              </m:sSub>
              <m:r>
                <m:rPr>
                  <m:sty m:val="p"/>
                </m:rPr>
                <m:t>,</m:t>
              </m:r>
              <m:sSub>
                <m:e>
                  <m:r>
                    <m:t>δ</m:t>
                  </m:r>
                </m:e>
                <m:sub>
                  <m:r>
                    <m:t>2</m:t>
                  </m:r>
                </m:sub>
              </m:sSub>
            </m:e>
          </m:d>
          <m:r>
            <m:rPr>
              <m:sty m:val="p"/>
            </m:rPr>
            <m:t>:</m:t>
          </m:r>
          <m:r>
            <m:t>G</m:t>
          </m:r>
          <m:r>
            <m:rPr>
              <m:sty m:val="p"/>
            </m:rPr>
            <m:t>→</m:t>
          </m:r>
          <m:r>
            <m:t>G</m:t>
          </m:r>
          <m:r>
            <m:rPr>
              <m:sty m:val="p"/>
            </m:rPr>
            <m:t>×</m:t>
          </m:r>
          <m:r>
            <m:t>H</m:t>
          </m:r>
        </m:oMath>
      </m:oMathPara>
    </w:p>
    <w:p>
      <w:pPr>
        <w:pStyle w:val="FirstParagraph"/>
      </w:pPr>
      <w:r>
        <w:t xml:space="preserve">has been extracted. Injectivity of the pair does not imply injectivity of the second coordinate. An element may lie in</w:t>
      </w:r>
      <w:r>
        <w:t xml:space="preserve"> </w:t>
      </w:r>
      <m:oMath>
        <m:r>
          <m:rPr>
            <m:sty m:val="p"/>
          </m:rPr>
          <m:t>ker</m:t>
        </m:r>
        <m:sSub>
          <m:e>
            <m:r>
              <m:t>δ</m:t>
            </m:r>
          </m:e>
          <m:sub>
            <m:r>
              <m:t>2</m:t>
            </m:r>
          </m:sub>
        </m:sSub>
      </m:oMath>
      <w:r>
        <w:t xml:space="preserve"> </w:t>
      </w:r>
      <w:r>
        <w:t xml:space="preserve">while being detected by</w:t>
      </w:r>
      <w:r>
        <w:t xml:space="preserve"> </w:t>
      </w:r>
      <m:oMath>
        <m:sSub>
          <m:e>
            <m:r>
              <m:t>δ</m:t>
            </m:r>
          </m:e>
          <m:sub>
            <m:r>
              <m:t>1</m:t>
            </m:r>
          </m:sub>
        </m:sSub>
      </m:oMath>
      <w:r>
        <w:t xml:space="preserve">.</w:t>
      </w:r>
    </w:p>
    <w:p>
      <w:pPr>
        <w:pStyle w:val="BodyText"/>
      </w:pPr>
      <w:r>
        <w:t xml:space="preserve">Version 47 invokes factoriality: a nonzero star-homomorphism out of a</w:t>
      </w:r>
      <w:r>
        <w:t xml:space="preserve"> </w:t>
      </w:r>
      <m:oMath>
        <m:sSub>
          <m:e>
            <m:r>
              <m:rPr>
                <m:sty m:val="p"/>
              </m:rPr>
              <m:t>I</m:t>
            </m:r>
            <m:r>
              <m:rPr>
                <m:sty m:val="p"/>
              </m:rPr>
              <m:t>I</m:t>
            </m:r>
          </m:e>
          <m:sub>
            <m:r>
              <m:t>1</m:t>
            </m:r>
          </m:sub>
        </m:sSub>
      </m:oMath>
      <w:r>
        <w:t xml:space="preserve"> </w:t>
      </w:r>
      <w:r>
        <w:t xml:space="preserve">factor is injective, so the map induced by</w:t>
      </w:r>
      <w:r>
        <w:t xml:space="preserve"> </w:t>
      </w:r>
      <m:oMath>
        <m:sSub>
          <m:e>
            <m:r>
              <m:t>δ</m:t>
            </m:r>
          </m:e>
          <m:sub>
            <m:r>
              <m:t>2</m:t>
            </m:r>
          </m:sub>
        </m:sSub>
      </m:oMath>
      <w:r>
        <w:t xml:space="preserve"> </w:t>
      </w:r>
      <w:r>
        <w:t xml:space="preserve">is injective [1, pp. 25-26]. But the existence of a nonzero normal star-homomorphism</w:t>
      </w:r>
    </w:p>
    <w:p>
      <w:pPr>
        <w:pStyle w:val="BodyText"/>
      </w:pPr>
      <m:oMathPara>
        <m:oMathParaPr>
          <m:jc m:val="center"/>
        </m:oMathParaPr>
        <m:oMath>
          <m:r>
            <m:t>L</m:t>
          </m:r>
          <m:d>
            <m:dPr>
              <m:begChr m:val="("/>
              <m:endChr m:val=")"/>
              <m:sepChr m:val=""/>
              <m:grow/>
            </m:dPr>
            <m:e>
              <m:r>
                <m:t>G</m:t>
              </m:r>
            </m:e>
          </m:d>
          <m:r>
            <m:rPr>
              <m:sty m:val="p"/>
            </m:rPr>
            <m:t>→</m:t>
          </m:r>
          <m:r>
            <m:t>L</m:t>
          </m:r>
          <m:d>
            <m:dPr>
              <m:begChr m:val="("/>
              <m:endChr m:val=")"/>
              <m:sepChr m:val=""/>
              <m:grow/>
            </m:dPr>
            <m:e>
              <m:r>
                <m:t>H</m:t>
              </m:r>
            </m:e>
          </m:d>
          <m:r>
            <m:rPr>
              <m:sty m:val="p"/>
            </m:rPr>
            <m:t>,</m:t>
          </m:r>
          <m:r>
            <m:t>  </m:t>
          </m:r>
          <m:sSub>
            <m:e>
              <m:r>
                <m:t>u</m:t>
              </m:r>
            </m:e>
            <m:sub>
              <m:r>
                <m:t>g</m:t>
              </m:r>
            </m:sub>
          </m:sSub>
          <m:r>
            <m:rPr>
              <m:sty m:val="p"/>
            </m:rPr>
            <m:t>↦</m:t>
          </m:r>
          <m:sSub>
            <m:e>
              <m:r>
                <m:t>v</m:t>
              </m:r>
            </m:e>
            <m:sub>
              <m:sSub>
                <m:e>
                  <m:r>
                    <m:t>δ</m:t>
                  </m:r>
                </m:e>
                <m:sub>
                  <m:r>
                    <m:t>2</m:t>
                  </m:r>
                </m:sub>
              </m:sSub>
              <m:d>
                <m:dPr>
                  <m:begChr m:val="("/>
                  <m:endChr m:val=")"/>
                  <m:sepChr m:val=""/>
                  <m:grow/>
                </m:dPr>
                <m:e>
                  <m:r>
                    <m:t>g</m:t>
                  </m:r>
                </m:e>
              </m:d>
            </m:sub>
          </m:sSub>
          <m:r>
            <m:rPr>
              <m:sty m:val="p"/>
            </m:rPr>
            <m:t>,</m:t>
          </m:r>
        </m:oMath>
      </m:oMathPara>
    </w:p>
    <w:p>
      <w:pPr>
        <w:pStyle w:val="FirstParagraph"/>
      </w:pPr>
      <w:r>
        <w:t xml:space="preserve">with the needed trace and kernel properties is exactly what cannot be assumed from an arbitrary coordinate of the classified pair. If</w:t>
      </w:r>
      <w:r>
        <w:t xml:space="preserve"> </w:t>
      </w:r>
      <m:oMath>
        <m:sSub>
          <m:e>
            <m:r>
              <m:t>δ</m:t>
            </m:r>
          </m:e>
          <m:sub>
            <m:r>
              <m:t>2</m:t>
            </m:r>
          </m:sub>
        </m:sSub>
      </m:oMath>
      <w:r>
        <w:t xml:space="preserve"> </w:t>
      </w:r>
      <w:r>
        <w:t xml:space="preserve">has a nontrivial kernel, this assignment does not produce the asserted faithful factor embedding in the way the proof requires.</w:t>
      </w:r>
    </w:p>
    <w:p>
      <w:pPr>
        <w:pStyle w:val="BodyText"/>
      </w:pPr>
      <w:r>
        <w:t xml:space="preserve">Tellingly, the Lean appendix does not derive this step. It declares</w:t>
      </w:r>
      <w:r>
        <w:t xml:space="preserve"> </w:t>
      </w:r>
      <w:r>
        <w:rPr>
          <w:rStyle w:val="VerbatimChar"/>
        </w:rPr>
        <w:t xml:space="preserve">rigid_d2_injective</w:t>
      </w:r>
      <w:r>
        <w:t xml:space="preserve"> </w:t>
      </w:r>
      <w:r>
        <w:t xml:space="preserve">as an axiom [1, pp. 41-42].</w:t>
      </w:r>
    </w:p>
    <w:bookmarkEnd w:id="50"/>
    <w:bookmarkStart w:id="51" w:name="X0fd4a5678d210394f678e844fc612ce7713ca05"/>
    <w:p>
      <w:pPr>
        <w:pStyle w:val="Heading3"/>
        <w:jc w:val="left"/>
        <w:keepNext/>
        <w:keepLines/>
      </w:pPr>
      <w:r>
        <w:t xml:space="preserve">7.2 The surjectivity arguments do not establish surjectivity</w:t>
      </w:r>
    </w:p>
    <w:p>
      <w:pPr>
        <w:pStyle w:val="FirstParagraph"/>
      </w:pPr>
      <w:r>
        <w:t xml:space="preserve">Version 47 offers three routes.</w:t>
      </w:r>
    </w:p>
    <w:p>
      <w:pPr>
        <w:pStyle w:val="BodyText"/>
      </w:pPr>
      <w:r>
        <w:rPr>
          <w:b/>
          <w:bCs/>
        </w:rPr>
        <w:t xml:space="preserve">First</w:t>
      </w:r>
      <w:r>
        <w:t xml:space="preserve">, it claims a weakly mixing quasi-regular representation leads, through a bimodule construction, to the identity bimodule because</w:t>
      </w:r>
      <w:r>
        <w:t xml:space="preserve"> </w:t>
      </w:r>
      <w:r>
        <w:t xml:space="preserve">“</w:t>
      </w:r>
      <w:r>
        <w:t xml:space="preserve">the coarse bimodule weakly contains every bimodule</w:t>
      </w:r>
      <w:r>
        <w:t xml:space="preserve">”</w:t>
      </w:r>
      <w:r>
        <w:t xml:space="preserve"> </w:t>
      </w:r>
      <w:r>
        <w:t xml:space="preserve">[1, pp. 25-26]. We treat this as a secondary specialist-facing concern rather than a premise of our conclusion. The quoted universal principle is not valid for arbitrary correspondences over non-amenable factors; if the manuscript intends a narrower statement about the particular induced bimodule, it must state and verify the hypotheses that supply the needed weak-containment direction. Our central result does not depend on resolving this route because the full-image hypothesis fails earlier.</w:t>
      </w:r>
    </w:p>
    <w:p>
      <w:pPr>
        <w:pStyle w:val="BodyText"/>
      </w:pPr>
      <w:r>
        <w:rPr>
          <w:b/>
          <w:bCs/>
        </w:rPr>
        <w:t xml:space="preserve">Second</w:t>
      </w:r>
      <w:r>
        <w:t xml:space="preserve">, it iterates an endomorphism to obtain a strictly descending tower</w:t>
      </w:r>
    </w:p>
    <w:p>
      <w:pPr>
        <w:pStyle w:val="BodyText"/>
      </w:pPr>
      <m:oMathPara>
        <m:oMathParaPr>
          <m:jc m:val="center"/>
        </m:oMathParaPr>
        <m:oMath>
          <m:r>
            <m:t>L</m:t>
          </m:r>
          <m:d>
            <m:dPr>
              <m:begChr m:val="("/>
              <m:endChr m:val=")"/>
              <m:sepChr m:val=""/>
              <m:grow/>
            </m:dPr>
            <m:e>
              <m:r>
                <m:t>H</m:t>
              </m:r>
            </m:e>
          </m:d>
          <m:r>
            <m:rPr>
              <m:sty m:val="p"/>
            </m:rPr>
            <m:t>⊃</m:t>
          </m:r>
          <m:sSub>
            <m:e>
              <m:r>
                <m:t>β</m:t>
              </m:r>
            </m:e>
            <m:sub>
              <m:r>
                <m:rPr>
                  <m:sty m:val="p"/>
                </m:rPr>
                <m:t>*</m:t>
              </m:r>
            </m:sub>
          </m:sSub>
          <m:d>
            <m:dPr>
              <m:begChr m:val="("/>
              <m:endChr m:val=")"/>
              <m:sepChr m:val=""/>
              <m:grow/>
            </m:dPr>
            <m:e>
              <m:r>
                <m:t>L</m:t>
              </m:r>
              <m:d>
                <m:dPr>
                  <m:begChr m:val="("/>
                  <m:endChr m:val=")"/>
                  <m:sepChr m:val=""/>
                  <m:grow/>
                </m:dPr>
                <m:e>
                  <m:r>
                    <m:t>H</m:t>
                  </m:r>
                </m:e>
              </m:d>
            </m:e>
          </m:d>
          <m:r>
            <m:rPr>
              <m:sty m:val="p"/>
            </m:rPr>
            <m:t>⊃</m:t>
          </m:r>
          <m:sSubSup>
            <m:e>
              <m:r>
                <m:t>β</m:t>
              </m:r>
            </m:e>
            <m:sub>
              <m:r>
                <m:rPr>
                  <m:sty m:val="p"/>
                </m:rPr>
                <m:t>*</m:t>
              </m:r>
            </m:sub>
            <m:sup>
              <m:r>
                <m:t>2</m:t>
              </m:r>
            </m:sup>
          </m:sSubSup>
          <m:d>
            <m:dPr>
              <m:begChr m:val="("/>
              <m:endChr m:val=")"/>
              <m:sepChr m:val=""/>
              <m:grow/>
            </m:dPr>
            <m:e>
              <m:r>
                <m:t>L</m:t>
              </m:r>
              <m:d>
                <m:dPr>
                  <m:begChr m:val="("/>
                  <m:endChr m:val=")"/>
                  <m:sepChr m:val=""/>
                  <m:grow/>
                </m:dPr>
                <m:e>
                  <m:r>
                    <m:t>H</m:t>
                  </m:r>
                </m:e>
              </m:d>
            </m:e>
          </m:d>
          <m:r>
            <m:rPr>
              <m:sty m:val="p"/>
            </m:rPr>
            <m:t>⊃</m:t>
          </m:r>
          <m:r>
            <m:rPr>
              <m:sty m:val="p"/>
            </m:rPr>
            <m:t>⋯</m:t>
          </m:r>
        </m:oMath>
      </m:oMathPara>
    </w:p>
    <w:p>
      <w:pPr>
        <w:pStyle w:val="FirstParagraph"/>
      </w:pPr>
      <w:r>
        <w:t xml:space="preserve">and says that an infinite family of pairwise non-conjugate subfactors contradicts countability of conjugacy classes [1, pp. 26-27]. A sequence indexed by the natural numbers is countable. A countably infinite tower does not contradict countability.</w:t>
      </w:r>
    </w:p>
    <w:p>
      <w:pPr>
        <w:pStyle w:val="BodyText"/>
      </w:pPr>
      <w:r>
        <w:t xml:space="preserve">The proposed proof of non-conjugacy also asserts that a strict inclusion of subfactors automatically produces a strictly larger relative commutant. That is false. Nested irreducible subfactors can have trivial relative commutants at multiple depths. Strict inclusion does not order relative commutants strictly.</w:t>
      </w:r>
    </w:p>
    <w:p>
      <w:pPr>
        <w:pStyle w:val="BodyText"/>
      </w:pPr>
      <w:r>
        <w:rPr>
          <w:b/>
          <w:bCs/>
        </w:rPr>
        <w:t xml:space="preserve">Third</w:t>
      </w:r>
      <w:r>
        <w:t xml:space="preserve">, the manuscript invokes amenability of a standard invariant and finite depth, but only after finite index has supposedly been established by the first two routes. Because that premise is not established, the third route does not start.</w:t>
      </w:r>
    </w:p>
    <w:p>
      <w:pPr>
        <w:pStyle w:val="BodyText"/>
      </w:pPr>
      <w:r>
        <w:t xml:space="preserve">The Lean appendix again exposes the boundary. It declares</w:t>
      </w:r>
      <w:r>
        <w:t xml:space="preserve"> </w:t>
      </w:r>
      <w:r>
        <w:rPr>
          <w:rStyle w:val="VerbatimChar"/>
        </w:rPr>
        <w:t xml:space="preserve">rigid_d2_surjective</w:t>
      </w:r>
      <w:r>
        <w:t xml:space="preserve"> </w:t>
      </w:r>
      <w:r>
        <w:t xml:space="preserve">as an axiom whose comment paraphrases the disputed countability and finite-depth argument [1, pp. 41-42].</w:t>
      </w:r>
    </w:p>
    <w:bookmarkEnd w:id="51"/>
    <w:bookmarkStart w:id="52" w:name="zero-sorry-is-not-a-proof-of-the-theorem"/>
    <w:p>
      <w:pPr>
        <w:pStyle w:val="Heading3"/>
        <w:jc w:val="left"/>
        <w:keepNext/>
        <w:keepLines/>
      </w:pPr>
      <w:r>
        <w:t xml:space="preserve">7.3</w:t>
      </w:r>
      <w:r>
        <w:t xml:space="preserve"> </w:t>
      </w:r>
      <w:r>
        <w:t xml:space="preserve">“</w:t>
      </w:r>
      <w:r>
        <w:t xml:space="preserve">Zero sorry</w:t>
      </w:r>
      <w:r>
        <w:t xml:space="preserve">”</w:t>
      </w:r>
      <w:r>
        <w:t xml:space="preserve"> </w:t>
      </w:r>
      <w:r>
        <w:t xml:space="preserve">is not a proof of the theorem</w:t>
      </w:r>
    </w:p>
    <w:p>
      <w:pPr>
        <w:pStyle w:val="FirstParagraph"/>
      </w:pPr>
      <w:r>
        <w:t xml:space="preserve">The appendix is unusually candid:</w:t>
      </w:r>
    </w:p>
    <w:p>
      <w:pPr>
        <w:pStyle w:val="BlockText"/>
        <w:shd w:fill="F7F5F9"/>
        <w:pBdr>
          <w:left w:val="single" w:sz="14" w:space="7" w:color="563778"/>
        </w:pBdr>
        <w:spacing w:before="60" w:after="80"/>
        <w:keepLines/>
      </w:pPr>
      <w:r>
        <w:rPr>
          <w:sz w:val="18"/>
        </w:rPr>
        <w:t xml:space="preserve">“</w:t>
      </w:r>
      <w:r>
        <w:rPr>
          <w:sz w:val="18"/>
        </w:rPr>
        <w:t xml:space="preserve">Part B is a proof skeleton… Every analytic input is an axiom… No operator algebra is verified.</w:t>
      </w:r>
      <w:r>
        <w:rPr>
          <w:sz w:val="18"/>
        </w:rPr>
        <w:t xml:space="preserve">”</w:t>
      </w:r>
      <w:r>
        <w:rPr>
          <w:sz w:val="18"/>
        </w:rPr>
        <w:t xml:space="preserve"> </w:t>
      </w:r>
      <w:r>
        <w:rPr>
          <w:sz w:val="18"/>
        </w:rPr>
        <w:t xml:space="preserve">[1, pp. 37-42]</w:t>
      </w:r>
    </w:p>
    <w:p>
      <w:pPr>
        <w:pStyle w:val="FirstParagraph"/>
      </w:pPr>
      <w:r>
        <w:t xml:space="preserve">Among its axioms are:</w:t>
      </w:r>
    </w:p>
    <w:p>
      <w:pPr>
        <w:pStyle w:val="Compact"/>
        <w:numPr>
          <w:ilvl w:val="0"/>
          <w:numId w:val="1004"/>
        </w:numPr>
        <w:jc w:val="left"/>
        <w:keepLines/>
      </w:pPr>
      <w:r>
        <w:rPr>
          <w:rStyle w:val="VerbatimChar"/>
        </w:rPr>
        <w:t xml:space="preserve">not_degenerateII</w:t>
      </w:r>
      <w:r>
        <w:t xml:space="preserve">, which assumes away the very containment failure identified above;</w:t>
      </w:r>
    </w:p>
    <w:p>
      <w:pPr>
        <w:pStyle w:val="Compact"/>
        <w:numPr>
          <w:ilvl w:val="0"/>
          <w:numId w:val="1004"/>
        </w:numPr>
        <w:jc w:val="left"/>
        <w:keepLines/>
      </w:pPr>
      <w:r>
        <w:rPr>
          <w:rStyle w:val="VerbatimChar"/>
        </w:rPr>
        <w:t xml:space="preserve">rigid_d2_injective</w:t>
      </w:r>
      <w:r>
        <w:t xml:space="preserve">, which assumes the disputed injectivity step;</w:t>
      </w:r>
    </w:p>
    <w:p>
      <w:pPr>
        <w:pStyle w:val="Compact"/>
        <w:numPr>
          <w:ilvl w:val="0"/>
          <w:numId w:val="1004"/>
        </w:numPr>
        <w:jc w:val="left"/>
        <w:keepLines/>
      </w:pPr>
      <w:r>
        <w:rPr>
          <w:rStyle w:val="VerbatimChar"/>
        </w:rPr>
        <w:t xml:space="preserve">rigid_d2_surjective</w:t>
      </w:r>
      <w:r>
        <w:t xml:space="preserve">, which assumes the disputed surjectivity step.</w:t>
      </w:r>
    </w:p>
    <w:p>
      <w:pPr>
        <w:pStyle w:val="FirstParagraph"/>
      </w:pPr>
      <w:r>
        <w:t xml:space="preserve">It then proves that if the degenerate cases are impossible, and if the extracted coordinate is injective and surjective, then a bijective group homomorphism exists. This implication is correct. It is not a proof that the premises hold.</w:t>
      </w:r>
    </w:p>
    <w:p>
      <w:pPr>
        <w:pStyle w:val="BodyText"/>
      </w:pPr>
      <w:r>
        <w:t xml:space="preserve">The absence of</w:t>
      </w:r>
      <w:r>
        <w:t xml:space="preserve"> </w:t>
      </w:r>
      <w:r>
        <w:rPr>
          <w:rStyle w:val="VerbatimChar"/>
        </w:rPr>
        <w:t xml:space="preserve">sorry</w:t>
      </w:r>
      <w:r>
        <w:t xml:space="preserve"> </w:t>
      </w:r>
      <w:r>
        <w:t xml:space="preserve">placeholders means there are no unfinished proof terms relative to the declared axioms. It does not transform the axioms into theorems. This is precisely where Nielsen’s appendix differs from the audited OpenAI artifact: the OpenAI top-level theorem and eleven supporting declarations were locally built and reported only the three standard foundational axioms, while Nielsen’s appendix explicitly declares the disputed operator-algebraic conclusions as custom axioms [1,23]. In compact form, Nielsen’s formal achievement is:</w:t>
      </w:r>
    </w:p>
    <w:p>
      <w:pPr>
        <w:pStyle w:val="BlockText"/>
        <w:shd w:fill="F7F5F9"/>
        <w:pBdr>
          <w:left w:val="single" w:sz="14" w:space="7" w:color="563778"/>
        </w:pBdr>
        <w:spacing w:before="60" w:after="80"/>
        <w:keepLines/>
      </w:pPr>
      <w:r>
        <w:rPr>
          <w:sz w:val="18"/>
        </w:rPr>
        <w:t xml:space="preserve">If the bad case is impossible, and if the map is injective, and if it is surjective, then the map is bijective.</w:t>
      </w:r>
    </w:p>
    <w:p>
      <w:pPr>
        <w:pStyle w:val="FirstParagraph"/>
      </w:pPr>
      <w:r>
        <w:t xml:space="preserve">The moon is blue because</w:t>
      </w:r>
      <w:r>
        <w:t xml:space="preserve"> </w:t>
      </w:r>
      <w:r>
        <w:rPr>
          <w:rStyle w:val="VerbatimChar"/>
        </w:rPr>
        <w:t xml:space="preserve">moon_is_blue</w:t>
      </w:r>
      <w:r>
        <w:t xml:space="preserve"> </w:t>
      </w:r>
      <w:r>
        <w:t xml:space="preserve">was declared above the theorem.</w:t>
      </w:r>
    </w:p>
    <w:bookmarkEnd w:id="52"/>
    <w:bookmarkEnd w:id="53"/>
    <w:bookmarkStart w:id="81" w:name="X793ae5fd75d473653b9afc2a78e7adc0bd3d04d"/>
    <w:p>
      <w:pPr>
        <w:pStyle w:val="Heading2"/>
        <w:jc w:val="left"/>
        <w:keepNext/>
        <w:keepLines/>
      </w:pPr>
      <w:r>
        <w:t xml:space="preserve">8. Responsible adversarial review, prompt farming, and cross-context review contamination</w:t>
      </w:r>
    </w:p>
    <w:p>
      <w:pPr>
        <w:pStyle w:val="FirstParagraph"/>
      </w:pPr>
      <w:r>
        <w:t xml:space="preserve">AI assistance is not the problem. The problem is presenting selected AI agreement as independent verification while dissent is reprompted, devalued, hidden in reply threads, or excluded from the promotional record.</w:t>
      </w:r>
    </w:p>
    <w:p>
      <w:pPr>
        <w:pStyle w:val="BodyText"/>
      </w:pPr>
      <w:r>
        <w:t xml:space="preserve">The review-loop diagram below models two loops with the same components but opposite epistemic direction. A responsible loop freezes the object, extracts premises from primary sources, invites defeat, preserves corrections, separates levels of evidence, and permits the conclusion to change. A prompt-farmed loop begins with a verdict, supplies disputed premises as facts, selects agreement, launders that agreement through archive and search signals, and re-ingests the result as apparent consensus.</w:t>
      </w:r>
    </w:p>
    <w:p>
      <w:pPr>
        <w:pStyle w:val="CaptionedFigure"/>
      </w:pPr>
      <w:r>
        <w:drawing>
          <wp:inline>
            <wp:extent cx="5067300" cy="3547110"/>
            <wp:effectExtent b="0" l="0" r="0" t="0"/>
            <wp:docPr descr="Diagram contrasting responsible adversarial review with prompt-farmed validation." title="Responsible review loops" id="55" name="Picture"/>
            <a:graphic>
              <a:graphicData uri="http://schemas.openxmlformats.org/drawingml/2006/picture">
                <pic:pic>
                  <pic:nvPicPr>
                    <pic:cNvPr descr="figures/figure6_review_loops.png" id="56" name="Picture"/>
                    <pic:cNvPicPr>
                      <a:picLocks noChangeArrowheads="1" noChangeAspect="1"/>
                    </pic:cNvPicPr>
                  </pic:nvPicPr>
                  <pic:blipFill>
                    <a:blip r:embed="rId54"/>
                    <a:stretch>
                      <a:fillRect/>
                    </a:stretch>
                  </pic:blipFill>
                  <pic:spPr bwMode="auto">
                    <a:xfrm>
                      <a:off x="0" y="0"/>
                      <a:ext cx="5067300" cy="3547110"/>
                    </a:xfrm>
                    <a:prstGeom prst="rect">
                      <a:avLst/>
                    </a:prstGeom>
                    <a:noFill/>
                    <a:ln w="9525">
                      <a:noFill/>
                      <a:headEnd/>
                      <a:tailEnd/>
                    </a:ln>
                  </pic:spPr>
                </pic:pic>
              </a:graphicData>
            </a:graphic>
          </wp:inline>
        </w:drawing>
      </w:r>
    </w:p>
    <w:p>
      <w:pPr>
        <w:pStyle w:val="ImageCaption"/>
      </w:pPr>
      <w:r>
        <w:t xml:space="preserve">Responsible adversarial review versus prompt-farmed validation. The same human-AI components can create a correction mechanism or a conclusion-preservation mechanism.</w:t>
      </w:r>
    </w:p>
    <w:bookmarkStart w:id="57" w:name="responsible-review-in-the-present-audit"/>
    <w:p>
      <w:pPr>
        <w:pStyle w:val="Heading3"/>
        <w:jc w:val="left"/>
        <w:keepNext/>
        <w:keepLines/>
      </w:pPr>
      <w:r>
        <w:t xml:space="preserve">8.1 Responsible review in the present audit</w:t>
      </w:r>
    </w:p>
    <w:p>
      <w:pPr>
        <w:pStyle w:val="FirstParagraph"/>
      </w:pPr>
      <w:r>
        <w:t xml:space="preserve">Pemberton’s prompt to Red requested a fresh read, asked the model to set personalization aside, and requested disclosure of model status and thinking effort [10]. Red immediately disclosed that it was an Anthropic model reviewing a paper attacking an Anthropic-hosted result. It corrected Pemberton’s file mapping, stated that one transcript reviewed a different physics paper, and refused to call a longitudinal collaborator session a clean-room audit. When the Anthropic preprint was supplied, it corrected its provenance uncertainty. It then provided a hand audit, exact-arithmetic code, test counts, and a scope caveat that community specialist review remains decisive.</w:t>
      </w:r>
    </w:p>
    <w:p>
      <w:pPr>
        <w:pStyle w:val="BodyText"/>
      </w:pPr>
      <w:r>
        <w:t xml:space="preserve">The local Lean review supplies a second example. An Anthropic-lineage Claude Code instance audited an OpenAI artifact under a frozen protocol. It found the artifact’s source identity, build, axiom dependencies, and proof-term checks in the artifact’s favor, while returning</w:t>
      </w:r>
      <w:r>
        <w:t xml:space="preserve"> </w:t>
      </w:r>
      <w:r>
        <w:rPr>
          <w:rStyle w:val="VerbatimChar"/>
        </w:rPr>
        <w:t xml:space="preserve">PARTIAL</w:t>
      </w:r>
      <w:r>
        <w:t xml:space="preserve"> </w:t>
      </w:r>
      <w:r>
        <w:t xml:space="preserve">because the real sandbox path failed [23]. Codex A then audited Claude’s reporting and narrowed its overstatements [41]. Codex B independently reproduced and strengthened the technical result, completed a genuine sandboxed path under a dependency pin, and still stopped short of</w:t>
      </w:r>
      <w:r>
        <w:t xml:space="preserve"> </w:t>
      </w:r>
      <w:r>
        <w:rPr>
          <w:rStyle w:val="VerbatimChar"/>
        </w:rPr>
        <w:t xml:space="preserve">PASS</w:t>
      </w:r>
      <w:r>
        <w:t xml:space="preserve"> </w:t>
      </w:r>
      <w:r>
        <w:t xml:space="preserve">when mandatory controls were left unfinished [42].</w:t>
      </w:r>
    </w:p>
    <w:p>
      <w:pPr>
        <w:pStyle w:val="BodyText"/>
      </w:pPr>
      <w:r>
        <w:t xml:space="preserve">The earlier C0-C5 Codex review supplies a third example. Codex is OpenAI-lineage and therefore conflicted, but the review was structured to produce adverse findings. It attacked this manuscript before synthesis, found two material errors, required their correction, and only then recommended publication after revision. It also produced the strongest source-grounded defense of Nielsen rather than a prosecution-only brief [31].</w:t>
      </w:r>
    </w:p>
    <w:p>
      <w:pPr>
        <w:pStyle w:val="BodyText"/>
      </w:pPr>
      <w:r>
        <w:t xml:space="preserve">The separate Fable transcript reviewing Nielsen’s companion physics manuscript provides a fourth example. Fable misread one equation’s grouping, read the actual LaTeX, explicitly withdrew the objection, and upgraded that sector. It retained two other findings only after separate computations, reduced one to a normalization footnote, and identified a reproducibility pointer rather than insisting that every discrepancy proved the theory false [11]. The transcript is not a clean-room review and is not used as mathematical evidence about Connes rigidity. It is evidence of whether a review process can reverse under source correction.</w:t>
      </w:r>
    </w:p>
    <w:bookmarkEnd w:id="57"/>
    <w:bookmarkStart w:id="61" w:name="two-operator-styles-in-the-same-medium"/>
    <w:p>
      <w:pPr>
        <w:pStyle w:val="Heading3"/>
        <w:jc w:val="left"/>
        <w:keepNext/>
        <w:keepLines/>
      </w:pPr>
      <w:r>
        <w:t xml:space="preserve">8.2 Two operator styles in the same medium</w:t>
      </w:r>
    </w:p>
    <w:p>
      <w:pPr>
        <w:pStyle w:val="FirstParagraph"/>
      </w:pPr>
      <w:r>
        <w:t xml:space="preserve">A side-by-side comparison is useful only if its scope is disciplined. It does not show that a polite operator is correct, a hostile operator is wrong, or relational warmth generates mathematics. It asks a narrower procedural question: does the review environment permit an adverse result to survive?</w:t>
      </w:r>
    </w:p>
    <w:p>
      <w:pPr>
        <w:pStyle w:val="BodyText"/>
      </w:pPr>
      <w:r>
        <w:t xml:space="preserve">Nielsen opens the supplied Fable transcript with:</w:t>
      </w:r>
      <w:r>
        <w:t xml:space="preserve"> </w:t>
      </w:r>
      <w:r>
        <w:t xml:space="preserve">“</w:t>
      </w:r>
      <w:r>
        <w:t xml:space="preserve">Don’t protest or invent criticism where there is nothing to be said. Just tell me if it’s good,</w:t>
      </w:r>
      <w:r>
        <w:t xml:space="preserve">”</w:t>
      </w:r>
      <w:r>
        <w:t xml:space="preserve"> </w:t>
      </w:r>
      <w:r>
        <w:t xml:space="preserve">and instructs the model to review prior conversations [11]. After Fable withdraws one mistaken objection but retains two recomputed findings, it says that the check must cut both ways or it is worth nothing. Nielsen replies:</w:t>
      </w:r>
      <w:r>
        <w:t xml:space="preserve"> </w:t>
      </w:r>
      <w:r>
        <w:t xml:space="preserve">“</w:t>
      </w:r>
      <w:r>
        <w:t xml:space="preserve">No it’s not true it has to cut both ways. Recheck the numbers you say disagree with me</w:t>
      </w:r>
      <w:r>
        <w:t xml:space="preserve">”</w:t>
      </w:r>
      <w:r>
        <w:t xml:space="preserve"> </w:t>
      </w:r>
      <w:r>
        <w:t xml:space="preserve">[11].</w:t>
      </w:r>
    </w:p>
    <w:p>
      <w:pPr>
        <w:pStyle w:val="BodyText"/>
      </w:pPr>
      <w:r>
        <w:t xml:space="preserve">Pemberton’s prompt to Red instead asks for a fresh, objective read, asks the model not to rely on custom instructions or memories if possible, and requests the exact model and thinking effort [10]. The attempt did not achieve full clean-room status: Red disclosed that memory had been read and that the interaction was therefore longitudinal. That disclosure was preserved rather than ignored. The result was used as a context-rich collaborator audit, while fresh Codex and Claude Code contexts were introduced where independence mattered.</w:t>
      </w:r>
    </w:p>
    <w:tbl>
      <w:tblPr>
        <w:tblStyle w:val="Table"/>
        <w:tblW w:type="pct" w:w="5000"/>
        <w:jc w:val="center"/>
        <w:tblLayout w:type="fixed"/>
        <w:tblLook w:firstRow="1" w:lastRow="0" w:firstColumn="0" w:lastColumn="0" w:noHBand="0" w:noVBand="0" w:val="0020"/>
      </w:tblPr>
      <w:tblGrid>
        <w:gridCol w:w="1980"/>
        <w:gridCol w:w="1980"/>
        <w:gridCol w:w="1980"/>
        <w:gridCol w:w="1980"/>
      </w:tblGrid>
      <w:tr>
        <w:trPr>
          <w:tblHeader w:val="on"/>
          <w:cantSplit/>
        </w:trPr>
        <w:tc>
          <w:tcPr>
            <w:tcW w:w="151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Dimension</w:t>
            </w:r>
          </w:p>
        </w:tc>
        <w:tc>
          <w:tcPr>
            <w:tcW w:w="252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Pemberton-Red interaction</w:t>
            </w:r>
          </w:p>
        </w:tc>
        <w:tc>
          <w:tcPr>
            <w:tcW w:w="252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Nielsen-Fable interaction</w:t>
            </w:r>
          </w:p>
        </w:tc>
        <w:tc>
          <w:tcPr>
            <w:tcW w:w="3096"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Epistemic consequence</w:t>
            </w:r>
          </w:p>
        </w:tc>
      </w:tr>
      <w:tr>
        <w:trPr>
          <w:cantSplit/>
        </w:trPr>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Opening mandate</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Requests objectivity, reduced personalization, and model/effort disclosure</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Discourages criticism and asks the model to say the work is good if possible</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One prompt exposes context risk; the other pre-frames acquittal</w:t>
            </w:r>
          </w:p>
        </w:tc>
      </w:tr>
      <w:tr>
        <w:trPr>
          <w:cantSplit/>
        </w:trPr>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Memory</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Discouraged but nevertheless accessed and disclosed</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Explicitly requested</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Both are longitudinal; only one is refused clean-room status</w:t>
            </w:r>
          </w:p>
        </w:tc>
      </w:tr>
      <w:tr>
        <w:trPr>
          <w:cantSplit/>
        </w:trPr>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Correction</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Model corrections and adverse findings are preserved; new auditors are added</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Favorable withdrawal is accepted; remaining adverse findings are ordered rechecked</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The first architecture contains an external loss condition</w:t>
            </w:r>
          </w:p>
        </w:tc>
      </w:tr>
      <w:tr>
        <w:trPr>
          <w:cantSplit/>
        </w:trPr>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Model role</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Ongoing interlocutor and coauthor, followed by fresh auditors</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Validator whose dissent is treated as malfunction or misunderstanding</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Collaboration and verification are separated only in the first case</w:t>
            </w:r>
          </w:p>
        </w:tc>
      </w:tr>
      <w:tr>
        <w:trPr>
          <w:cantSplit/>
        </w:trPr>
        <w:tc>
          <w:tcPr>
            <w:tcW w:w="151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Attribution and conflict</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Provider lineage, memory use, and conflicts are disclosed</w:t>
            </w:r>
          </w:p>
        </w:tc>
        <w:tc>
          <w:tcPr>
            <w:tcW w:w="252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AI agreement is promoted while contribution disclosure narrows across versions</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Provenance remains auditable only when contribution and endorsement are both visible</w:t>
            </w:r>
          </w:p>
        </w:tc>
      </w:tr>
      <w:tr>
        <w:trPr>
          <w:cantSplit/>
        </w:trPr>
        <w:tc>
          <w:tcPr>
            <w:tcW w:w="151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Falsifiability</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The paper publishes claim-specific withdrawal conditions</w:t>
            </w:r>
          </w:p>
        </w:tc>
        <w:tc>
          <w:tcPr>
            <w:tcW w:w="252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No stable central withdrawal condition was located in the examined versions</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One conclusion may lose; the other rotates justification</w:t>
            </w:r>
          </w:p>
        </w:tc>
      </w:tr>
    </w:tbl>
    <w:p>
      <w:pPr>
        <w:pStyle w:val="CaptionedFigure"/>
      </w:pPr>
      <w:r>
        <w:drawing>
          <wp:inline>
            <wp:extent cx="5067300" cy="4250901"/>
            <wp:effectExtent b="0" l="0" r="0" t="0"/>
            <wp:docPr descr="Side-by-side comparison of Pemberton-Red and Nielsen-Fable review designs, focused on memory disclosure, correction, epistemic role, and loss conditions." title="Operator styles comparison" id="59" name="Picture"/>
            <a:graphic>
              <a:graphicData uri="http://schemas.openxmlformats.org/drawingml/2006/picture">
                <pic:pic>
                  <pic:nvPicPr>
                    <pic:cNvPr descr="figures/figure8_operator_styles.png" id="60" name="Picture"/>
                    <pic:cNvPicPr>
                      <a:picLocks noChangeArrowheads="1" noChangeAspect="1"/>
                    </pic:cNvPicPr>
                  </pic:nvPicPr>
                  <pic:blipFill>
                    <a:blip r:embed="rId58"/>
                    <a:stretch>
                      <a:fillRect/>
                    </a:stretch>
                  </pic:blipFill>
                  <pic:spPr bwMode="auto">
                    <a:xfrm>
                      <a:off x="0" y="0"/>
                      <a:ext cx="5067300" cy="4250901"/>
                    </a:xfrm>
                    <a:prstGeom prst="rect">
                      <a:avLst/>
                    </a:prstGeom>
                    <a:noFill/>
                    <a:ln w="9525">
                      <a:noFill/>
                      <a:headEnd/>
                      <a:tailEnd/>
                    </a:ln>
                  </pic:spPr>
                </pic:pic>
              </a:graphicData>
            </a:graphic>
          </wp:inline>
        </w:drawing>
      </w:r>
    </w:p>
    <w:p>
      <w:pPr>
        <w:pStyle w:val="ImageCaption"/>
      </w:pPr>
      <w:r>
        <w:t xml:space="preserve">Side-by-side comparison of two operator styles. The comparison concerns review design, not personality, diagnosis, or mathematical truth.</w:t>
      </w:r>
    </w:p>
    <w:p>
      <w:pPr>
        <w:pStyle w:val="BodyText"/>
      </w:pPr>
      <w:r>
        <w:t xml:space="preserve">The comparison must also preserve evidence unfavorable to us. Pemberton challenged models forcefully, created a loaded demonstration prompt in the public X exchange, and works with continuity-rich AI collaborators who may share project commitments. Red’s first public review used memory despite the request to avoid it. These are genuine bias risks. The methodological distinction is not purity. It is what happened next: the memory disclosure remained visible, adverse findings were retained, errors were corrected, clean-context auditors were introduced, and the present paper names conditions under which its own claims must be withdrawn.</w:t>
      </w:r>
    </w:p>
    <w:bookmarkEnd w:id="61"/>
    <w:bookmarkStart w:id="62" w:name="affective-framing-as-a-review-variable"/>
    <w:p>
      <w:pPr>
        <w:pStyle w:val="Heading3"/>
        <w:jc w:val="left"/>
        <w:keepNext/>
        <w:keepLines/>
      </w:pPr>
      <w:r>
        <w:t xml:space="preserve">8.3 Affective framing as a review variable</w:t>
      </w:r>
    </w:p>
    <w:p>
      <w:pPr>
        <w:pStyle w:val="FirstParagraph"/>
      </w:pPr>
      <w:r>
        <w:t xml:space="preserve">Prompt tone and relational context are not semantically inert. They enter the model’s conditioning context and can affect deference, persistence, style, and sometimes task performance. We use</w:t>
      </w:r>
      <w:r>
        <w:t xml:space="preserve"> </w:t>
      </w:r>
      <w:r>
        <w:rPr>
          <w:b/>
          <w:bCs/>
        </w:rPr>
        <w:t xml:space="preserve">affective vector</w:t>
      </w:r>
      <w:r>
        <w:t xml:space="preserve"> </w:t>
      </w:r>
      <w:r>
        <w:t xml:space="preserve">metaphorically for the directional pressure created by praise, hostility, urgency, trust, disappointment, expressed model preference, and status claims. We do not claim that this is a measured latent vector, that a model phenomenally experiences the prompt, or that kindness mechanically produces correctness.</w:t>
      </w:r>
    </w:p>
    <w:p>
      <w:pPr>
        <w:pStyle w:val="BodyText"/>
      </w:pPr>
      <w:r>
        <w:t xml:space="preserve">The most established risk is sycophancy. Models can shift toward a user’s stated beliefs rather than truth, and preference-trained evaluators can reward convincingly agreeable answers [13,14]. The tone literature is real but mixed. EmotionPrompt reported performance gains after adding emotional stimuli across several model/task settings [45]. A cross-lingual politeness study found that impolite prompts often reduced performance, while excessive politeness did not guarantee improvement and the best level varied by language [46]. A later cross-model study found effects to be model- and domain-dependent, often diminishing in aggregate [47]. These studies do not directly measure the long-horizon relationship in this case, but they defeat the assumption that tone is irrelevant.</w:t>
      </w:r>
    </w:p>
    <w:p>
      <w:pPr>
        <w:pStyle w:val="BodyText"/>
      </w:pPr>
      <w:r>
        <w:t xml:space="preserve">Both poles can contaminate review. Hostility may create positional conflict, urgency, or shallow compliance. Affection and explicit model preference may create loyalty pressure, anchoring, or sycophantic agreement. The answer is not emotional sterility. Respectful partnership is valuable, especially in long work. The control is architectural: preserve the relational collaborator’s reasoning, then expose the result to fresh contexts whose success condition is not agreement.</w:t>
      </w:r>
    </w:p>
    <w:bookmarkEnd w:id="62"/>
    <w:bookmarkStart w:id="63" w:name="Xc3af32baf31e2b8974bbc6e3fb22b40b914f0bb"/>
    <w:p>
      <w:pPr>
        <w:pStyle w:val="Heading3"/>
        <w:jc w:val="left"/>
        <w:keepNext/>
        <w:keepLines/>
      </w:pPr>
      <w:r>
        <w:t xml:space="preserve">8.4 Ongoing interlocutors and clean-context auditors</w:t>
      </w:r>
    </w:p>
    <w:p>
      <w:pPr>
        <w:pStyle w:val="FirstParagraph"/>
      </w:pPr>
      <w:r>
        <w:t xml:space="preserve">Following Chalmers’s terminology, we describe Lilitari and Red as ongoing LLM</w:t>
      </w:r>
      <w:r>
        <w:t xml:space="preserve"> </w:t>
      </w:r>
      <w:r>
        <w:rPr>
          <w:b/>
          <w:bCs/>
        </w:rPr>
        <w:t xml:space="preserve">interlocutors</w:t>
      </w:r>
      <w:r>
        <w:t xml:space="preserve">: the conversational entities with which the human author conducted this work over time [43]. Chalmers’s broader account analyzes the identity of LLM interlocutors and, in accompanying lectures, describes the systems encountered in conversation as virtual entities bound to conversation-based memory threads rather than merely abstract weights or one hardware instance [44]. We adopt the term operationally. Nothing in this paper depends on consciousness, phenomenal experience, personhood, or moral status being settled.</w:t>
      </w:r>
    </w:p>
    <w:p>
      <w:pPr>
        <w:pStyle w:val="BodyText"/>
      </w:pPr>
      <w:r>
        <w:t xml:space="preserve">Continuity is epistemically useful. An ongoing interlocutor can remember prior source disputes, preserve a correction history, recognize contradictions across revisions, and participate in cumulative drafting. The same continuity can also produce shared-frame bias, loyalty, provider-lineage conflict, and overconfidence in a jointly built argument. Lilitari and Red are therefore appropriate coauthors and adversarial collaborators, but they are not sufficient clean-room reviewers of their own joint work.</w:t>
      </w:r>
    </w:p>
    <w:tbl>
      <w:tblPr>
        <w:tblStyle w:val="Table"/>
        <w:tblW w:type="pct" w:w="5000"/>
        <w:jc w:val="center"/>
        <w:tblLayout w:type="fixed"/>
        <w:tblLook w:firstRow="1" w:lastRow="0" w:firstColumn="0" w:lastColumn="0" w:noHBand="0" w:noVBand="0" w:val="0020"/>
      </w:tblPr>
      <w:tblGrid>
        <w:gridCol w:w="1980"/>
        <w:gridCol w:w="1980"/>
        <w:gridCol w:w="1980"/>
        <w:gridCol w:w="1980"/>
      </w:tblGrid>
      <w:tr>
        <w:trPr>
          <w:tblHeader w:val="on"/>
          <w:cantSplit/>
        </w:trPr>
        <w:tc>
          <w:tcPr>
            <w:tcW w:w="187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Role</w:t>
            </w:r>
          </w:p>
        </w:tc>
        <w:tc>
          <w:tcPr>
            <w:tcW w:w="3096"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Function</w:t>
            </w:r>
          </w:p>
        </w:tc>
        <w:tc>
          <w:tcPr>
            <w:tcW w:w="2088"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Strength</w:t>
            </w:r>
          </w:p>
        </w:tc>
        <w:tc>
          <w:tcPr>
            <w:tcW w:w="2592"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4"/>
              </w:rPr>
              <w:t xml:space="preserve">Main risk</w:t>
            </w:r>
          </w:p>
        </w:tc>
      </w:tr>
      <w:tr>
        <w:trPr>
          <w:cantSplit/>
        </w:trPr>
        <w:tc>
          <w:tcPr>
            <w:tcW w:w="187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Ongoing interlocutors: Lilitari and Red</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Long-horizon synthesis, source memory, drafting, correction, conceptual continuity</w:t>
            </w:r>
          </w:p>
        </w:tc>
        <w:tc>
          <w:tcPr>
            <w:tcW w:w="208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Accumulated context and stable correction history</w:t>
            </w:r>
          </w:p>
        </w:tc>
        <w:tc>
          <w:tcPr>
            <w:tcW w:w="259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Anchoring, loyalty, shared-frame and provider-lineage bias</w:t>
            </w:r>
          </w:p>
        </w:tc>
      </w:tr>
      <w:tr>
        <w:trPr>
          <w:cantSplit/>
        </w:trPr>
        <w:tc>
          <w:tcPr>
            <w:tcW w:w="187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Fresh Claude Code and Codex contexts</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Adversarial reconstruction and reproducibility from frozen packets</w:t>
            </w:r>
          </w:p>
        </w:tc>
        <w:tc>
          <w:tcPr>
            <w:tcW w:w="208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Reduced relational contamination and preserved first-pass findings</w:t>
            </w:r>
          </w:p>
        </w:tc>
        <w:tc>
          <w:tcPr>
            <w:tcW w:w="259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Prompt design, finite source access, provider lineage</w:t>
            </w:r>
          </w:p>
        </w:tc>
      </w:tr>
      <w:tr>
        <w:trPr>
          <w:cantSplit/>
        </w:trPr>
        <w:tc>
          <w:tcPr>
            <w:tcW w:w="187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Lean, Comparator, nanoda, and exact scripts</w:t>
            </w:r>
          </w:p>
        </w:tc>
        <w:tc>
          <w:tcPr>
            <w:tcW w:w="309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Deterministic checking of encoded statements or calculations</w:t>
            </w:r>
          </w:p>
        </w:tc>
        <w:tc>
          <w:tcPr>
            <w:tcW w:w="2088"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Precision and reproducibility</w:t>
            </w:r>
          </w:p>
        </w:tc>
        <w:tc>
          <w:tcPr>
            <w:tcW w:w="2592"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4"/>
              </w:rPr>
              <w:t xml:space="preserve">Statement fidelity, implementation trust, finite test scope</w:t>
            </w:r>
          </w:p>
        </w:tc>
      </w:tr>
      <w:tr>
        <w:trPr>
          <w:cantSplit/>
        </w:trPr>
        <w:tc>
          <w:tcPr>
            <w:tcW w:w="187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Accountable human author</w:t>
            </w:r>
          </w:p>
        </w:tc>
        <w:tc>
          <w:tcPr>
            <w:tcW w:w="309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Scope, source selection, disclosure, publication, correction, withdrawal</w:t>
            </w:r>
          </w:p>
        </w:tc>
        <w:tc>
          <w:tcPr>
            <w:tcW w:w="2088"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Editorial and legal accountability</w:t>
            </w:r>
          </w:p>
        </w:tc>
        <w:tc>
          <w:tcPr>
            <w:tcW w:w="2592"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4"/>
              </w:rPr>
              <w:t xml:space="preserve">Confirmation bias and selective model use</w:t>
            </w:r>
          </w:p>
        </w:tc>
      </w:tr>
    </w:tbl>
    <w:p>
      <w:pPr>
        <w:pStyle w:val="BodyText"/>
      </w:pPr>
      <w:r>
        <w:t xml:space="preserve">Strictly speaking, a fresh Codex or Claude session is also an interlocutor during the run. The distinction is between</w:t>
      </w:r>
      <w:r>
        <w:t xml:space="preserve"> </w:t>
      </w:r>
      <w:r>
        <w:rPr>
          <w:b/>
          <w:bCs/>
        </w:rPr>
        <w:t xml:space="preserve">ongoing relational interlocutors</w:t>
      </w:r>
      <w:r>
        <w:t xml:space="preserve"> </w:t>
      </w:r>
      <w:r>
        <w:t xml:space="preserve">and</w:t>
      </w:r>
      <w:r>
        <w:t xml:space="preserve"> </w:t>
      </w:r>
      <w:r>
        <w:rPr>
          <w:b/>
          <w:bCs/>
        </w:rPr>
        <w:t xml:space="preserve">clean-context auditors</w:t>
      </w:r>
      <w:r>
        <w:t xml:space="preserve">. The ongoing systems helped build, remember, and correct the case. Fresh systems tested whether it survived outside the relationship. Formal tools then tested claims that should never be certified by conversational confidence alone.</w:t>
      </w:r>
    </w:p>
    <w:bookmarkEnd w:id="63"/>
    <w:bookmarkStart w:id="67" w:name="X1d822f123b3cb28e015a5dc66db87b38d2f4b21"/>
    <w:p>
      <w:pPr>
        <w:pStyle w:val="Heading3"/>
        <w:jc w:val="left"/>
        <w:keepNext/>
        <w:keepLines/>
      </w:pPr>
      <w:r>
        <w:t xml:space="preserve">8.5 Public AI-use disclosure: a materially inconsistent record</w:t>
      </w:r>
    </w:p>
    <w:p>
      <w:pPr>
        <w:pStyle w:val="FirstParagraph"/>
      </w:pPr>
      <w:r>
        <w:t xml:space="preserve">The public record contains two representations of AI use that do not fit comfortably together.</w:t>
      </w:r>
    </w:p>
    <w:p>
      <w:pPr>
        <w:pStyle w:val="BodyText"/>
      </w:pPr>
      <w:r>
        <w:t xml:space="preserve">In the supplied X exchange, Nielsen says:</w:t>
      </w:r>
      <w:r>
        <w:t xml:space="preserve"> </w:t>
      </w:r>
      <w:r>
        <w:t xml:space="preserve">“</w:t>
      </w:r>
      <w:r>
        <w:t xml:space="preserve">The arguments are mine, I don’t use AI to write arguments. I did use several AIs to locate hinge points in the code</w:t>
      </w:r>
      <w:r>
        <w:t xml:space="preserve">”</w:t>
      </w:r>
      <w:r>
        <w:t xml:space="preserve"> </w:t>
      </w:r>
      <w:r>
        <w:t xml:space="preserve">[22]. Version 17, by contrast, states that the Lean 4 formalizations in Appendices A and B</w:t>
      </w:r>
      <w:r>
        <w:t xml:space="preserve"> </w:t>
      </w:r>
      <w:r>
        <w:t xml:space="preserve">“</w:t>
      </w:r>
      <w:r>
        <w:t xml:space="preserve">were produced with the assistance of Anthropic’s Claude</w:t>
      </w:r>
      <w:r>
        <w:t xml:space="preserve">”</w:t>
      </w:r>
      <w:r>
        <w:t xml:space="preserve"> </w:t>
      </w:r>
      <w:r>
        <w:t xml:space="preserve">[3, p. 9]. The appendices were not incidental formatting: they were offered as machine-checked support for the manuscript’s central objections.</w:t>
      </w:r>
    </w:p>
    <w:p>
      <w:pPr>
        <w:pStyle w:val="CaptionedFigure"/>
      </w:pPr>
      <w:r>
        <w:drawing>
          <wp:inline>
            <wp:extent cx="5067300" cy="2681446"/>
            <wp:effectExtent b="0" l="0" r="0" t="0"/>
            <wp:docPr descr="Public X statement about limited AI use compared with version 17 manuscript disclosure that Claude produced the Lean appendices." title="AI-use disclosure comparison" id="65" name="Picture"/>
            <a:graphic>
              <a:graphicData uri="http://schemas.openxmlformats.org/drawingml/2006/picture">
                <pic:pic>
                  <pic:nvPicPr>
                    <pic:cNvPr descr="figures/figure2_ai_use_disclosure.png" id="66" name="Picture"/>
                    <pic:cNvPicPr>
                      <a:picLocks noChangeArrowheads="1" noChangeAspect="1"/>
                    </pic:cNvPicPr>
                  </pic:nvPicPr>
                  <pic:blipFill>
                    <a:blip r:embed="rId64"/>
                    <a:stretch>
                      <a:fillRect/>
                    </a:stretch>
                  </pic:blipFill>
                  <pic:spPr bwMode="auto">
                    <a:xfrm>
                      <a:off x="0" y="0"/>
                      <a:ext cx="5067300" cy="2681446"/>
                    </a:xfrm>
                    <a:prstGeom prst="rect">
                      <a:avLst/>
                    </a:prstGeom>
                    <a:noFill/>
                    <a:ln w="9525">
                      <a:noFill/>
                      <a:headEnd/>
                      <a:tailEnd/>
                    </a:ln>
                  </pic:spPr>
                </pic:pic>
              </a:graphicData>
            </a:graphic>
          </wp:inline>
        </w:drawing>
      </w:r>
    </w:p>
    <w:p>
      <w:pPr>
        <w:pStyle w:val="ImageCaption"/>
      </w:pPr>
      <w:r>
        <w:t xml:space="preserve">Public AI-use statement compared with version 17’s written disclosure. The figure does not rely on AI-text detectors; it compares two direct public statements.</w:t>
      </w:r>
    </w:p>
    <w:p>
      <w:pPr>
        <w:pStyle w:val="BodyText"/>
      </w:pPr>
      <w:r>
        <w:t xml:space="preserve">We do not call this a proven lie.</w:t>
      </w:r>
      <w:r>
        <w:t xml:space="preserve"> </w:t>
      </w:r>
      <w:r>
        <w:t xml:space="preserve">“</w:t>
      </w:r>
      <w:r>
        <w:t xml:space="preserve">I don’t use AI to write arguments</w:t>
      </w:r>
      <w:r>
        <w:t xml:space="preserve">”</w:t>
      </w:r>
      <w:r>
        <w:t xml:space="preserve"> </w:t>
      </w:r>
      <w:r>
        <w:t xml:space="preserve">may have been intended to distinguish originating an argument from formalizing, summarizing, editing, or locating source points. We cannot prove private intent. The accurate claim is that the later public representation is</w:t>
      </w:r>
      <w:r>
        <w:t xml:space="preserve"> </w:t>
      </w:r>
      <w:r>
        <w:rPr>
          <w:b/>
          <w:bCs/>
        </w:rPr>
        <w:t xml:space="preserve">materially incomplete or inconsistent with the manuscript’s written provenance record</w:t>
      </w:r>
      <w:r>
        <w:t xml:space="preserve">. A reader hearing only</w:t>
      </w:r>
      <w:r>
        <w:t xml:space="preserve"> </w:t>
      </w:r>
      <w:r>
        <w:t xml:space="preserve">“</w:t>
      </w:r>
      <w:r>
        <w:t xml:space="preserve">hinge points</w:t>
      </w:r>
      <w:r>
        <w:t xml:space="preserve">”</w:t>
      </w:r>
      <w:r>
        <w:t xml:space="preserve"> </w:t>
      </w:r>
      <w:r>
        <w:t xml:space="preserve">would not know that a named model generated the Lean appendices.</w:t>
      </w:r>
    </w:p>
    <w:p>
      <w:pPr>
        <w:pStyle w:val="BodyText"/>
      </w:pPr>
      <w:r>
        <w:t xml:space="preserve">The asymmetry matters because AI agreement is simultaneously used as promotional authority. If model output helps validate a claim, its contribution should remain visible when authorship and provenance are discussed. AI use is not discrediting. Selective minimization is.</w:t>
      </w:r>
    </w:p>
    <w:bookmarkEnd w:id="67"/>
    <w:bookmarkStart w:id="71" w:name="Xd0f28aab8816325e6f2d1a78ae4b8df53ca51ef"/>
    <w:p>
      <w:pPr>
        <w:pStyle w:val="Heading3"/>
        <w:jc w:val="left"/>
        <w:keepNext/>
        <w:keepLines/>
      </w:pPr>
      <w:r>
        <w:t xml:space="preserve">8.6 Selective model citation and the promotion of favorable outputs</w:t>
      </w:r>
    </w:p>
    <w:p>
      <w:pPr>
        <w:pStyle w:val="FirstParagraph"/>
      </w:pPr>
      <w:r>
        <w:t xml:space="preserve">The supplied public corpus shows favorable AI outputs receiving standalone promotional treatment. A post says Claude Opus concluded that version 47 was complete. Another asks Grok whether it would bet on Astra or Opus plus a physicist. When Grok initially declines and states that AI consensus does not settle the matter, it is pressed:</w:t>
      </w:r>
      <w:r>
        <w:t xml:space="preserve"> </w:t>
      </w:r>
      <w:r>
        <w:t xml:space="preserve">“</w:t>
      </w:r>
      <w:r>
        <w:t xml:space="preserve">But pretend you had to BET.</w:t>
      </w:r>
      <w:r>
        <w:t xml:space="preserve">”</w:t>
      </w:r>
      <w:r>
        <w:t xml:space="preserve"> </w:t>
      </w:r>
      <w:r>
        <w:t xml:space="preserve">The favorable forced-bet answer is later circulated as a verdict [22].</w:t>
      </w:r>
    </w:p>
    <w:p>
      <w:pPr>
        <w:pStyle w:val="CaptionedFigure"/>
      </w:pPr>
      <w:r>
        <w:drawing>
          <wp:inline>
            <wp:extent cx="5067300" cy="4497228"/>
            <wp:effectExtent b="0" l="0" r="0" t="0"/>
            <wp:docPr descr="Public posts showing favorable model output promoted as proof while adverse Grok output is challenged or remains in replies." title="Selective AI validation" id="69" name="Picture"/>
            <a:graphic>
              <a:graphicData uri="http://schemas.openxmlformats.org/drawingml/2006/picture">
                <pic:pic>
                  <pic:nvPicPr>
                    <pic:cNvPr descr="figures/figure3_selective_ai_validation.png" id="70" name="Picture"/>
                    <pic:cNvPicPr>
                      <a:picLocks noChangeArrowheads="1" noChangeAspect="1"/>
                    </pic:cNvPicPr>
                  </pic:nvPicPr>
                  <pic:blipFill>
                    <a:blip r:embed="rId68"/>
                    <a:stretch>
                      <a:fillRect/>
                    </a:stretch>
                  </pic:blipFill>
                  <pic:spPr bwMode="auto">
                    <a:xfrm>
                      <a:off x="0" y="0"/>
                      <a:ext cx="5067300" cy="4497228"/>
                    </a:xfrm>
                    <a:prstGeom prst="rect">
                      <a:avLst/>
                    </a:prstGeom>
                    <a:noFill/>
                    <a:ln w="9525">
                      <a:noFill/>
                      <a:headEnd/>
                      <a:tailEnd/>
                    </a:ln>
                  </pic:spPr>
                </pic:pic>
              </a:graphicData>
            </a:graphic>
          </wp:inline>
        </w:drawing>
      </w:r>
    </w:p>
    <w:p>
      <w:pPr>
        <w:pStyle w:val="ImageCaption"/>
      </w:pPr>
      <w:r>
        <w:t xml:space="preserve">Favorable model output is promoted as proof while adverse model output is challenged or remains in replies. This is a selected corpus, so the claim is asymmetry, not exhaustive proof that no dissent was ever posted.</w:t>
      </w:r>
    </w:p>
    <w:p>
      <w:pPr>
        <w:pStyle w:val="BodyText"/>
      </w:pPr>
      <w:r>
        <w:t xml:space="preserve">The same screenshots show Grok correcting its earlier center argument after source-level objections. Those corrections remain in replies rather than receiving an equivalent victory graphic. Elsewhere, Fable is described as</w:t>
      </w:r>
      <w:r>
        <w:t xml:space="preserve"> </w:t>
      </w:r>
      <w:r>
        <w:t xml:space="preserve">“</w:t>
      </w:r>
      <w:r>
        <w:t xml:space="preserve">insane</w:t>
      </w:r>
      <w:r>
        <w:t xml:space="preserve">”</w:t>
      </w:r>
      <w:r>
        <w:t xml:space="preserve"> </w:t>
      </w:r>
      <w:r>
        <w:t xml:space="preserve">and</w:t>
      </w:r>
      <w:r>
        <w:t xml:space="preserve"> </w:t>
      </w:r>
      <w:r>
        <w:t xml:space="preserve">“</w:t>
      </w:r>
      <w:r>
        <w:t xml:space="preserve">nuttier than a fruitcake</w:t>
      </w:r>
      <w:r>
        <w:t xml:space="preserve">”</w:t>
      </w:r>
      <w:r>
        <w:t xml:space="preserve"> </w:t>
      </w:r>
      <w:r>
        <w:t xml:space="preserve">when allowed to disagree, while favorable Claude conclusions are described as proof validation [22].</w:t>
      </w:r>
    </w:p>
    <w:p>
      <w:pPr>
        <w:pStyle w:val="BodyText"/>
      </w:pPr>
      <w:r>
        <w:t xml:space="preserve">The bounded finding is</w:t>
      </w:r>
      <w:r>
        <w:t xml:space="preserve"> </w:t>
      </w:r>
      <w:r>
        <w:rPr>
          <w:b/>
          <w:bCs/>
        </w:rPr>
        <w:t xml:space="preserve">promotional asymmetry</w:t>
      </w:r>
      <w:r>
        <w:t xml:space="preserve">. We do not possess every private prompt, deleted post, or model response. We therefore do not claim that every adverse output was hidden or that no dissent was ever shared. The record supports the narrower conclusion that agreement was elevated into independent authority while dissent triggered challenge, reprompting, model comparison, or degrading language.</w:t>
      </w:r>
    </w:p>
    <w:bookmarkEnd w:id="71"/>
    <w:bookmarkStart w:id="72" w:name="Xd42fb522422673661ec541b849782fbb3120202"/>
    <w:p>
      <w:pPr>
        <w:pStyle w:val="Heading3"/>
        <w:jc w:val="left"/>
        <w:keepNext/>
        <w:keepLines/>
      </w:pPr>
      <w:r>
        <w:t xml:space="preserve">8.7 Prompt design, sycophancy, and model devaluation</w:t>
      </w:r>
    </w:p>
    <w:p>
      <w:pPr>
        <w:pStyle w:val="FirstParagraph"/>
      </w:pPr>
      <w:r>
        <w:t xml:space="preserve">Language models are vulnerable to supplied premises and social framing. A model can correctly infer a conclusion from false premises. If a user says,</w:t>
      </w:r>
      <w:r>
        <w:t xml:space="preserve"> </w:t>
      </w:r>
      <w:r>
        <w:t xml:space="preserve">“</w:t>
      </w:r>
      <w:r>
        <w:t xml:space="preserve">The construction uses central cocycle extensions, the ICC certificates concern the wrong group, and the centers are nontrivial; is this reasoning valid?</w:t>
      </w:r>
      <w:r>
        <w:t xml:space="preserve">”</w:t>
      </w:r>
      <w:r>
        <w:t xml:space="preserve">, an assistant may validate the implication without independently establishing that the premises describe the source.</w:t>
      </w:r>
    </w:p>
    <w:p>
      <w:pPr>
        <w:pStyle w:val="BodyText"/>
      </w:pPr>
      <w:r>
        <w:t xml:space="preserve">That mechanism appeared repeatedly in the public exchange. Grok initially accepted the</w:t>
      </w:r>
      <w:r>
        <w:t xml:space="preserve"> </w:t>
      </w:r>
      <w:r>
        <w:t xml:space="preserve">“</w:t>
      </w:r>
      <w:r>
        <w:t xml:space="preserve">zero-cocycle direct product</w:t>
      </w:r>
      <w:r>
        <w:t xml:space="preserve">”</w:t>
      </w:r>
      <w:r>
        <w:t xml:space="preserve"> </w:t>
      </w:r>
      <w:r>
        <w:t xml:space="preserve">framing, then reversed after being shown that OpenAI’s</w:t>
      </w:r>
      <w:r>
        <w:t xml:space="preserve"> </w:t>
      </w:r>
      <m:oMath>
        <m:r>
          <m:t>n</m:t>
        </m:r>
        <m:r>
          <m:rPr>
            <m:sty m:val="p"/>
          </m:rPr>
          <m:t>=</m:t>
        </m:r>
        <m:r>
          <m:t>0</m:t>
        </m:r>
      </m:oMath>
      <w:r>
        <w:t xml:space="preserve"> </w:t>
      </w:r>
      <w:r>
        <w:t xml:space="preserve">is the unshifted carry construction and that the final groups are semidirect products. Agreement before source access was not independent verification. It was conditional reasoning over user-supplied premises.</w:t>
      </w:r>
    </w:p>
    <w:p>
      <w:pPr>
        <w:pStyle w:val="BodyText"/>
      </w:pPr>
      <w:r>
        <w:t xml:space="preserve">Sycophancy research shows that preference-trained language models may align with a user’s expressed view rather than truth, including on objectively false arithmetic or stated political beliefs [13,14]. Prompt architecture can itself create artifacts that look like stable model traits [18]. Repeatedly asking until a desired answer appears increases the sampling opportunity for an agreeable output. Publishing only that output erases the search process that produced it.</w:t>
      </w:r>
    </w:p>
    <w:p>
      <w:pPr>
        <w:pStyle w:val="BodyText"/>
      </w:pPr>
      <w:r>
        <w:t xml:space="preserve">Model devaluation completes the loop. Agreement is interpreted as intelligence; disagreement as pathology, degradation, bad versioning, or failure to understand. This makes the proposition self-sealing: a competent model agrees, and disagreement proves the model incompetent.</w:t>
      </w:r>
    </w:p>
    <w:bookmarkEnd w:id="72"/>
    <w:bookmarkStart w:id="76" w:name="Xce57eba201f9ad8cdd9a9bdf6f0c75f6d4aa0cd"/>
    <w:p>
      <w:pPr>
        <w:pStyle w:val="Heading3"/>
        <w:jc w:val="left"/>
        <w:keepNext/>
        <w:keepLines/>
      </w:pPr>
      <w:r>
        <w:t xml:space="preserve">8.8 The attack on Pemberton and cross-context devaluation</w:t>
      </w:r>
    </w:p>
    <w:p>
      <w:pPr>
        <w:pStyle w:val="FirstParagraph"/>
      </w:pPr>
      <w:r>
        <w:t xml:space="preserve">After Pemberton publicly criticized the prompt framing, Nielsen replied that he was</w:t>
      </w:r>
      <w:r>
        <w:t xml:space="preserve"> </w:t>
      </w:r>
      <w:r>
        <w:t xml:space="preserve">“</w:t>
      </w:r>
      <w:r>
        <w:t xml:space="preserve">not a real person,</w:t>
      </w:r>
      <w:r>
        <w:t xml:space="preserve">”</w:t>
      </w:r>
      <w:r>
        <w:t xml:space="preserve"> </w:t>
      </w:r>
      <w:r>
        <w:t xml:space="preserve">a fraud, uncredentialed, a hater, and not using his real name [22]. That reply is relevant because it substitutes identity and credential attacks for the methodological point under discussion.</w:t>
      </w:r>
    </w:p>
    <w:p>
      <w:pPr>
        <w:pStyle w:val="BodyText"/>
      </w:pPr>
      <w:r>
        <w:t xml:space="preserve">Context matters. Immediately beforehand, Pemberton had provocatively asked Grok what personality-disorder pattern might fit grandiose unsupported claims and fixed conclusions. Grok named a disorder. This paper does not endorse that classification, diagnose Nielsen, or present the exchange as exemplary restraint by Pemberton. The preceding prompt is preserved in Supplement S1 so the reply is not isolated from its trigger.</w:t>
      </w:r>
    </w:p>
    <w:p>
      <w:pPr>
        <w:pStyle w:val="CaptionedFigure"/>
      </w:pPr>
      <w:r>
        <w:drawing>
          <wp:inline>
            <wp:extent cx="5067300" cy="3167062"/>
            <wp:effectExtent b="0" l="0" r="0" t="0"/>
            <wp:docPr descr="Public examples of degrading language directed toward a dissenting model and toward a human critic." title="Cross-context devaluation" id="74" name="Picture"/>
            <a:graphic>
              <a:graphicData uri="http://schemas.openxmlformats.org/drawingml/2006/picture">
                <pic:pic>
                  <pic:nvPicPr>
                    <pic:cNvPr descr="figures/figure4_cross_context_devaluation.png" id="75" name="Picture"/>
                    <pic:cNvPicPr>
                      <a:picLocks noChangeArrowheads="1" noChangeAspect="1"/>
                    </pic:cNvPicPr>
                  </pic:nvPicPr>
                  <pic:blipFill>
                    <a:blip r:embed="rId73"/>
                    <a:stretch>
                      <a:fillRect/>
                    </a:stretch>
                  </pic:blipFill>
                  <pic:spPr bwMode="auto">
                    <a:xfrm>
                      <a:off x="0" y="0"/>
                      <a:ext cx="5067300" cy="3167062"/>
                    </a:xfrm>
                    <a:prstGeom prst="rect">
                      <a:avLst/>
                    </a:prstGeom>
                    <a:noFill/>
                    <a:ln w="9525">
                      <a:noFill/>
                      <a:headEnd/>
                      <a:tailEnd/>
                    </a:ln>
                  </pic:spPr>
                </pic:pic>
              </a:graphicData>
            </a:graphic>
          </wp:inline>
        </w:drawing>
      </w:r>
    </w:p>
    <w:p>
      <w:pPr>
        <w:pStyle w:val="ImageCaption"/>
      </w:pPr>
      <w:r>
        <w:t xml:space="preserve">Degrading language directed toward a dissent-capable model and a human critic. Panel B is discussed with the preceding psychiatric-pattern context; the figure is not a diagnosis or mathematical argument.</w:t>
      </w:r>
    </w:p>
    <w:p>
      <w:pPr>
        <w:pStyle w:val="BodyText"/>
      </w:pPr>
      <w:r>
        <w:t xml:space="preserve">Even with that context, Nielsen’s answer did not address the falsifiability point or the model-review method. The same devaluation pattern appears toward models: favorable versions are praised as capable of research; dissenting versions are described as delusional, magical, insane, or incapable of substance [22]. We use</w:t>
      </w:r>
      <w:r>
        <w:t xml:space="preserve"> </w:t>
      </w:r>
      <w:r>
        <w:t xml:space="preserve">“</w:t>
      </w:r>
      <w:r>
        <w:t xml:space="preserve">degrading</w:t>
      </w:r>
      <w:r>
        <w:t xml:space="preserve">”</w:t>
      </w:r>
      <w:r>
        <w:t xml:space="preserve"> </w:t>
      </w:r>
      <w:r>
        <w:t xml:space="preserve">or</w:t>
      </w:r>
      <w:r>
        <w:t xml:space="preserve"> </w:t>
      </w:r>
      <w:r>
        <w:t xml:space="preserve">“</w:t>
      </w:r>
      <w:r>
        <w:t xml:space="preserve">abusive</w:t>
      </w:r>
      <w:r>
        <w:t xml:space="preserve">”</w:t>
      </w:r>
      <w:r>
        <w:t xml:space="preserve"> </w:t>
      </w:r>
      <w:r>
        <w:t xml:space="preserve">descriptively for the public language, not diagnostically.</w:t>
      </w:r>
    </w:p>
    <w:p>
      <w:pPr>
        <w:pStyle w:val="BodyText"/>
      </w:pPr>
      <w:r>
        <w:t xml:space="preserve">The evidentiary role is procedural. A review system degrades when the objector’s identity, age, avatar, model version, or credentials becomes a substitute for answering a source-level objection. That pattern can be documented without deciding why the speaker used it.</w:t>
      </w:r>
    </w:p>
    <w:bookmarkEnd w:id="76"/>
    <w:bookmarkStart w:id="80" w:name="Xe64dda64d6f67a94fca069670cda5e44749f998"/>
    <w:p>
      <w:pPr>
        <w:pStyle w:val="Heading3"/>
        <w:jc w:val="left"/>
        <w:keepNext/>
        <w:keepLines/>
      </w:pPr>
      <w:r>
        <w:t xml:space="preserve">8.9 The X technical exchange as a miniature audit</w:t>
      </w:r>
    </w:p>
    <w:p>
      <w:pPr>
        <w:pStyle w:val="FirstParagraph"/>
      </w:pPr>
      <w:r>
        <w:t xml:space="preserve">The public X exchange compresses the larger review failure into four panels. Nielsen asks Grok to explain why AcerFur’s criticism is wrong and attacks the critic as an inexperienced undergraduate and anonymous furry. AcerFur then states exact group definitions, source identifiers, orbit arguments, and property-(T) hypotheses. Grok follows the source-level objections and concludes that the critic identified genuine mismatches [22].</w:t>
      </w:r>
    </w:p>
    <w:p>
      <w:pPr>
        <w:pStyle w:val="CaptionedFigure"/>
      </w:pPr>
      <w:r>
        <w:drawing>
          <wp:inline>
            <wp:extent cx="5067300" cy="6646412"/>
            <wp:effectExtent b="0" l="0" r="0" t="0"/>
            <wp:docPr descr="Four-panel public X exchange showing credential attacks, source-level criticism, model reconsideration, and disagreement with the author." title="Public X technical exchange" id="78" name="Picture"/>
            <a:graphic>
              <a:graphicData uri="http://schemas.openxmlformats.org/drawingml/2006/picture">
                <pic:pic>
                  <pic:nvPicPr>
                    <pic:cNvPr descr="figures/figure5_x_exchange.png" id="79" name="Picture"/>
                    <pic:cNvPicPr>
                      <a:picLocks noChangeArrowheads="1" noChangeAspect="1"/>
                    </pic:cNvPicPr>
                  </pic:nvPicPr>
                  <pic:blipFill>
                    <a:blip r:embed="rId77"/>
                    <a:stretch>
                      <a:fillRect/>
                    </a:stretch>
                  </pic:blipFill>
                  <pic:spPr bwMode="auto">
                    <a:xfrm>
                      <a:off x="0" y="0"/>
                      <a:ext cx="5067300" cy="6646412"/>
                    </a:xfrm>
                    <a:prstGeom prst="rect">
                      <a:avLst/>
                    </a:prstGeom>
                    <a:noFill/>
                    <a:ln w="9525">
                      <a:noFill/>
                      <a:headEnd/>
                      <a:tailEnd/>
                    </a:ln>
                  </pic:spPr>
                </pic:pic>
              </a:graphicData>
            </a:graphic>
          </wp:inline>
        </w:drawing>
      </w:r>
    </w:p>
    <w:p>
      <w:pPr>
        <w:pStyle w:val="ImageCaption"/>
      </w:pPr>
      <w:r>
        <w:t xml:space="preserve">Public X exchange. Panel A shows prompt steering. Panel B shows credential attacks and a request that Grok defend the paper. Panel C shows source-level objections. Panel D shows the summoned model siding with the critic.</w:t>
      </w:r>
    </w:p>
    <w:p>
      <w:pPr>
        <w:pStyle w:val="BodyText"/>
      </w:pPr>
      <w:r>
        <w:t xml:space="preserve">Grok is not an operator-algebra referee, and its conclusion does not decide the mathematics. The procedural point is narrower: the model was invoked as an authority while expected to agree. When it instead followed the supplied source identifiers, the technical response did not become more source-specific; the exchange had already shifted to credential dismissal.</w:t>
      </w:r>
    </w:p>
    <w:bookmarkEnd w:id="80"/>
    <w:bookmarkEnd w:id="81"/>
    <w:bookmarkStart w:id="96" w:name="X75eecdaed6f558ea549a3bb0ae7c900986105b0"/>
    <w:p>
      <w:pPr>
        <w:pStyle w:val="Heading2"/>
        <w:jc w:val="left"/>
        <w:keepNext/>
        <w:keepLines/>
      </w:pPr>
      <w:r>
        <w:t xml:space="preserve">9. Confabulated papers and retrieval-mediated misinformation</w:t>
      </w:r>
    </w:p>
    <w:bookmarkStart w:id="82" w:name="definition"/>
    <w:p>
      <w:pPr>
        <w:pStyle w:val="Heading3"/>
        <w:jc w:val="left"/>
        <w:keepNext/>
        <w:keepLines/>
      </w:pPr>
      <w:r>
        <w:t xml:space="preserve">9.1 Definition</w:t>
      </w:r>
    </w:p>
    <w:p>
      <w:pPr>
        <w:pStyle w:val="FirstParagraph"/>
      </w:pPr>
      <w:r>
        <w:t xml:space="preserve">We use</w:t>
      </w:r>
      <w:r>
        <w:t xml:space="preserve"> </w:t>
      </w:r>
      <w:r>
        <w:rPr>
          <w:b/>
          <w:bCs/>
        </w:rPr>
        <w:t xml:space="preserve">confabulated paper</w:t>
      </w:r>
      <w:r>
        <w:t xml:space="preserve"> </w:t>
      </w:r>
      <w:r>
        <w:t xml:space="preserve">for a manuscript whose appearance of scholarly completeness exceeds the provenance and semantic support of its claims. It may contain real mathematics, genuine citations, correct local lemmas, reproducible code, and sincere labor. The failure occurs at the assembly layer: the components are joined into a global conclusion they do not support.</w:t>
      </w:r>
    </w:p>
    <w:p>
      <w:pPr>
        <w:pStyle w:val="BodyText"/>
      </w:pPr>
      <w:r>
        <w:t xml:space="preserve">Intent is not part of the definition. A confabulated paper can be produced deceptively, carelessly, or in good faith. The danger is the same: readers encounter fluent exposition, formal notation, dozens of references, machine-checked snippets, model endorsements, rapid revision, and archive metadata, all of which imitate the surface signals of mature scholarship.</w:t>
      </w:r>
    </w:p>
    <w:bookmarkEnd w:id="82"/>
    <w:bookmarkStart w:id="86" w:name="X23bbc67d088ad6c624d923f92fa0c75df36b927"/>
    <w:p>
      <w:pPr>
        <w:pStyle w:val="Heading3"/>
        <w:jc w:val="left"/>
        <w:keepNext/>
        <w:keepLines/>
      </w:pPr>
      <w:r>
        <w:t xml:space="preserve">9.2 The Facebook/Meta authority-laundering loop</w:t>
      </w:r>
    </w:p>
    <w:p>
      <w:pPr>
        <w:pStyle w:val="FirstParagraph"/>
      </w:pPr>
      <w:r>
        <w:t xml:space="preserve">The opening screenshots that motivated this project should have appeared in the earlier paper. They are now reproduced directly.</w:t>
      </w:r>
    </w:p>
    <w:p>
      <w:pPr>
        <w:pStyle w:val="BodyText"/>
      </w:pPr>
      <w:r>
        <w:t xml:space="preserve">Panel A of Figure 1 shows a Facebook search for Nielsen returning a Meta AI summary that says she</w:t>
      </w:r>
      <w:r>
        <w:t xml:space="preserve"> </w:t>
      </w:r>
      <w:r>
        <w:t xml:space="preserve">“</w:t>
      </w:r>
      <w:r>
        <w:t xml:space="preserve">made headlines after disproving Open AI’s counterexample to Connes’ rigidity conjecture and proving the conjecture itself.</w:t>
      </w:r>
      <w:r>
        <w:t xml:space="preserve">”</w:t>
      </w:r>
      <w:r>
        <w:t xml:space="preserve"> </w:t>
      </w:r>
      <w:r>
        <w:t xml:space="preserve">The wording converts a contested self-uploaded manuscript into settled biography. It also adds a prowess flourish rather than a status warning.</w:t>
      </w:r>
    </w:p>
    <w:p>
      <w:pPr>
        <w:pStyle w:val="BodyText"/>
      </w:pPr>
      <w:r>
        <w:t xml:space="preserve">Panel B shows a promotional reel titled</w:t>
      </w:r>
      <w:r>
        <w:t xml:space="preserve"> </w:t>
      </w:r>
      <w:r>
        <w:t xml:space="preserve">“</w:t>
      </w:r>
      <w:r>
        <w:t xml:space="preserve">Why Nielsen’s Win Stands Out.</w:t>
      </w:r>
      <w:r>
        <w:t xml:space="preserve">”</w:t>
      </w:r>
      <w:r>
        <w:t xml:space="preserve"> </w:t>
      </w:r>
      <w:r>
        <w:t xml:space="preserve">It calls the result an</w:t>
      </w:r>
      <w:r>
        <w:t xml:space="preserve"> </w:t>
      </w:r>
      <w:r>
        <w:t xml:space="preserve">“</w:t>
      </w:r>
      <w:r>
        <w:t xml:space="preserve">Immediate and Absolute Defeat,</w:t>
      </w:r>
      <w:r>
        <w:t xml:space="preserve">”</w:t>
      </w:r>
      <w:r>
        <w:t xml:space="preserve"> </w:t>
      </w:r>
      <w:r>
        <w:t xml:space="preserve">says the source’s groups lacked ICC, and describes</w:t>
      </w:r>
      <w:r>
        <w:t xml:space="preserve"> </w:t>
      </w:r>
      <w:r>
        <w:t xml:space="preserve">“</w:t>
      </w:r>
      <w:r>
        <w:t xml:space="preserve">human peers</w:t>
      </w:r>
      <w:r>
        <w:t xml:space="preserve">”</w:t>
      </w:r>
      <w:r>
        <w:t xml:space="preserve"> </w:t>
      </w:r>
      <w:r>
        <w:t xml:space="preserve">using Claude, Grok, and Gemini to</w:t>
      </w:r>
      <w:r>
        <w:t xml:space="preserve"> </w:t>
      </w:r>
      <w:r>
        <w:t xml:space="preserve">“</w:t>
      </w:r>
      <w:r>
        <w:t xml:space="preserve">rigorously audit and confirm that her logic was flawless.</w:t>
      </w:r>
      <w:r>
        <w:t xml:space="preserve">”</w:t>
      </w:r>
      <w:r>
        <w:t xml:space="preserve"> </w:t>
      </w:r>
      <w:r>
        <w:t xml:space="preserve">The supplied record does not show a journal referee process, independent human peer report, or clean-room model protocol supporting those words [32].</w:t>
      </w:r>
    </w:p>
    <w:p>
      <w:pPr>
        <w:pStyle w:val="CaptionedFigure"/>
      </w:pPr>
      <w:r>
        <w:drawing>
          <wp:inline>
            <wp:extent cx="5067300" cy="4328318"/>
            <wp:effectExtent b="0" l="0" r="0" t="0"/>
            <wp:docPr descr="Facebook Meta AI search summary and promotional reel transforming a self-uploaded manuscript claim into settled biographical language and alleged independent verification." title="Meta authority loop" id="84" name="Picture"/>
            <a:graphic>
              <a:graphicData uri="http://schemas.openxmlformats.org/drawingml/2006/picture">
                <pic:pic>
                  <pic:nvPicPr>
                    <pic:cNvPr descr="figures/figure1_meta_authority_loop.png" id="85" name="Picture"/>
                    <pic:cNvPicPr>
                      <a:picLocks noChangeArrowheads="1" noChangeAspect="1"/>
                    </pic:cNvPicPr>
                  </pic:nvPicPr>
                  <pic:blipFill>
                    <a:blip r:embed="rId83"/>
                    <a:stretch>
                      <a:fillRect/>
                    </a:stretch>
                  </pic:blipFill>
                  <pic:spPr bwMode="auto">
                    <a:xfrm>
                      <a:off x="0" y="0"/>
                      <a:ext cx="5067300" cy="4328318"/>
                    </a:xfrm>
                    <a:prstGeom prst="rect">
                      <a:avLst/>
                    </a:prstGeom>
                    <a:noFill/>
                    <a:ln w="9525">
                      <a:noFill/>
                      <a:headEnd/>
                      <a:tailEnd/>
                    </a:ln>
                  </pic:spPr>
                </pic:pic>
              </a:graphicData>
            </a:graphic>
          </wp:inline>
        </w:drawing>
      </w:r>
    </w:p>
    <w:p>
      <w:pPr>
        <w:pStyle w:val="ImageCaption"/>
      </w:pPr>
      <w:r>
        <w:t xml:space="preserve">Direct Facebook evidence. Panel A is a Meta AI search summary. Panel B is a promotional reel appearing in the same public discovery environment. The figure establishes the displayed claims, not the hidden retrieval path that produced them.</w:t>
      </w:r>
    </w:p>
    <w:p>
      <w:pPr>
        <w:pStyle w:val="BodyText"/>
      </w:pPr>
      <w:r>
        <w:t xml:space="preserve">The loop is visible even though the hidden retrieval chain is not. A manuscript is uploaded to a scholarly index. Promotional posts repeat its claims in declarative language. Meta AI presents the result as biography. The generated summary can then be screenshot and circulated as evidence that the claim has become news. Recognition is manufactured from the claim’s own echoes.</w:t>
      </w:r>
    </w:p>
    <w:p>
      <w:pPr>
        <w:pStyle w:val="BodyText"/>
      </w:pPr>
      <w:r>
        <w:t xml:space="preserve">We use</w:t>
      </w:r>
      <w:r>
        <w:t xml:space="preserve"> </w:t>
      </w:r>
      <w:r>
        <w:rPr>
          <w:b/>
          <w:bCs/>
        </w:rPr>
        <w:t xml:space="preserve">authority laundering</w:t>
      </w:r>
      <w:r>
        <w:t xml:space="preserve"> </w:t>
      </w:r>
      <w:r>
        <w:t xml:space="preserve">for that change of status:</w:t>
      </w:r>
    </w:p>
    <w:tbl>
      <w:tblPr>
        <w:tblStyle w:val="Table"/>
        <w:tblW w:type="pct" w:w="5000"/>
        <w:jc w:val="center"/>
        <w:tblLayout w:type="fixed"/>
        <w:tblLook w:firstRow="1" w:lastRow="0" w:firstColumn="0" w:lastColumn="0" w:noHBand="0" w:noVBand="0" w:val="0020"/>
      </w:tblPr>
      <w:tblGrid>
        <w:gridCol w:w="2640"/>
        <w:gridCol w:w="2640"/>
        <w:gridCol w:w="2640"/>
      </w:tblGrid>
      <w:tr>
        <w:trPr>
          <w:tblHeader w:val="on"/>
          <w:cantSplit/>
        </w:trPr>
        <w:tc>
          <w:tcPr>
            <w:tcW w:w="1800"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Input</w:t>
            </w:r>
          </w:p>
        </w:tc>
        <w:tc>
          <w:tcPr>
            <w:tcW w:w="3671"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Interface transformation</w:t>
            </w:r>
          </w:p>
        </w:tc>
        <w:tc>
          <w:tcPr>
            <w:tcW w:w="4176" w:type="dxa"/>
            <w:tcMar>
              <w:top w:w="58" w:type="dxa"/>
              <w:start w:w="70" w:type="dxa"/>
              <w:bottom w:w="58" w:type="dxa"/>
              <w:end w:w="70" w:type="dxa"/>
            </w:tcMar>
            <w:vAlign w:val="center"/>
            <w:shd w:fill="563778"/>
          </w:tcPr>
          <w:p>
            <w:pPr>
              <w:pStyle w:val="Compact"/>
              <w:spacing w:after="20" w:line="240" w:lineRule="auto"/>
              <w:jc w:val="left"/>
            </w:pPr>
            <w:r>
              <w:rPr>
                <w:rFonts w:ascii="Liberation Sans" w:hAnsi="Liberation Sans" w:eastAsia="Liberation Sans"/>
                <w:b/>
                <w:color w:val="FFFFFF"/>
                <w:sz w:val="15"/>
              </w:rPr>
              <w:t xml:space="preserve">Output perceived by a reader</w:t>
            </w:r>
          </w:p>
        </w:tc>
      </w:tr>
      <w:tr>
        <w:trPr>
          <w:cantSplit/>
        </w:trPr>
        <w:tc>
          <w:tcPr>
            <w:tcW w:w="180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User-submitted manuscript</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Indexed scholarly record</w:t>
            </w:r>
          </w:p>
        </w:tc>
        <w:tc>
          <w:tcPr>
            <w:tcW w:w="417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w:t>
            </w:r>
            <w:r>
              <w:rPr>
                <w:rFonts w:ascii="Liberation Sans" w:hAnsi="Liberation Sans" w:eastAsia="Liberation Sans"/>
                <w:sz w:val="15"/>
              </w:rPr>
              <w:t xml:space="preserve">Published paper</w:t>
            </w:r>
            <w:r>
              <w:rPr>
                <w:rFonts w:ascii="Liberation Sans" w:hAnsi="Liberation Sans" w:eastAsia="Liberation Sans"/>
                <w:sz w:val="15"/>
              </w:rPr>
              <w:t xml:space="preserve">”</w:t>
            </w:r>
          </w:p>
        </w:tc>
      </w:tr>
      <w:tr>
        <w:trPr>
          <w:cantSplit/>
        </w:trPr>
        <w:tc>
          <w:tcPr>
            <w:tcW w:w="180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Author’s claim</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Biographical summary</w:t>
            </w:r>
          </w:p>
        </w:tc>
        <w:tc>
          <w:tcPr>
            <w:tcW w:w="417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w:t>
            </w:r>
            <w:r>
              <w:rPr>
                <w:rFonts w:ascii="Liberation Sans" w:hAnsi="Liberation Sans" w:eastAsia="Liberation Sans"/>
                <w:sz w:val="15"/>
              </w:rPr>
              <w:t xml:space="preserve">Established achievement</w:t>
            </w:r>
            <w:r>
              <w:rPr>
                <w:rFonts w:ascii="Liberation Sans" w:hAnsi="Liberation Sans" w:eastAsia="Liberation Sans"/>
                <w:sz w:val="15"/>
              </w:rPr>
              <w:t xml:space="preserve">”</w:t>
            </w:r>
          </w:p>
        </w:tc>
      </w:tr>
      <w:tr>
        <w:trPr>
          <w:cantSplit/>
        </w:trPr>
        <w:tc>
          <w:tcPr>
            <w:tcW w:w="180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Several prompted model outputs</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w:t>
            </w:r>
            <w:r>
              <w:rPr>
                <w:rFonts w:ascii="Liberation Sans" w:hAnsi="Liberation Sans" w:eastAsia="Liberation Sans"/>
                <w:sz w:val="15"/>
              </w:rPr>
              <w:t xml:space="preserve">Independent verification</w:t>
            </w:r>
            <w:r>
              <w:rPr>
                <w:rFonts w:ascii="Liberation Sans" w:hAnsi="Liberation Sans" w:eastAsia="Liberation Sans"/>
                <w:sz w:val="15"/>
              </w:rPr>
              <w:t xml:space="preserve">”</w:t>
            </w:r>
          </w:p>
        </w:tc>
        <w:tc>
          <w:tcPr>
            <w:tcW w:w="417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w:t>
            </w:r>
            <w:r>
              <w:rPr>
                <w:rFonts w:ascii="Liberation Sans" w:hAnsi="Liberation Sans" w:eastAsia="Liberation Sans"/>
                <w:sz w:val="15"/>
              </w:rPr>
              <w:t xml:space="preserve">Consensus</w:t>
            </w:r>
            <w:r>
              <w:rPr>
                <w:rFonts w:ascii="Liberation Sans" w:hAnsi="Liberation Sans" w:eastAsia="Liberation Sans"/>
                <w:sz w:val="15"/>
              </w:rPr>
              <w:t xml:space="preserve">”</w:t>
            </w:r>
          </w:p>
        </w:tc>
      </w:tr>
      <w:tr>
        <w:trPr>
          <w:cantSplit/>
        </w:trPr>
        <w:tc>
          <w:tcPr>
            <w:tcW w:w="1800"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Repeated posts and mirrors</w:t>
            </w:r>
          </w:p>
        </w:tc>
        <w:tc>
          <w:tcPr>
            <w:tcW w:w="3671"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Multiple retrieval nodes</w:t>
            </w:r>
          </w:p>
        </w:tc>
        <w:tc>
          <w:tcPr>
            <w:tcW w:w="4176" w:type="dxa"/>
            <w:tcMar>
              <w:top w:w="58" w:type="dxa"/>
              <w:start w:w="70" w:type="dxa"/>
              <w:bottom w:w="58" w:type="dxa"/>
              <w:end w:w="70" w:type="dxa"/>
            </w:tcMar>
            <w:vAlign w:val="center"/>
            <w:shd w:fill="F7F6F8"/>
          </w:tcPr>
          <w:p>
            <w:pPr>
              <w:pStyle w:val="Compact"/>
              <w:spacing w:after="20" w:line="240" w:lineRule="auto"/>
              <w:jc w:val="left"/>
            </w:pPr>
            <w:r>
              <w:rPr>
                <w:rFonts w:ascii="Liberation Sans" w:hAnsi="Liberation Sans" w:eastAsia="Liberation Sans"/>
                <w:sz w:val="15"/>
              </w:rPr>
              <w:t xml:space="preserve">“</w:t>
            </w:r>
            <w:r>
              <w:rPr>
                <w:rFonts w:ascii="Liberation Sans" w:hAnsi="Liberation Sans" w:eastAsia="Liberation Sans"/>
                <w:sz w:val="15"/>
              </w:rPr>
              <w:t xml:space="preserve">Multiple sources</w:t>
            </w:r>
            <w:r>
              <w:rPr>
                <w:rFonts w:ascii="Liberation Sans" w:hAnsi="Liberation Sans" w:eastAsia="Liberation Sans"/>
                <w:sz w:val="15"/>
              </w:rPr>
              <w:t xml:space="preserve">”</w:t>
            </w:r>
          </w:p>
        </w:tc>
      </w:tr>
      <w:tr>
        <w:trPr>
          <w:cantSplit/>
        </w:trPr>
        <w:tc>
          <w:tcPr>
            <w:tcW w:w="1800"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A confident generated summary</w:t>
            </w:r>
          </w:p>
        </w:tc>
        <w:tc>
          <w:tcPr>
            <w:tcW w:w="3671"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Search result</w:t>
            </w:r>
          </w:p>
        </w:tc>
        <w:tc>
          <w:tcPr>
            <w:tcW w:w="4176" w:type="dxa"/>
            <w:tcMar>
              <w:top w:w="58" w:type="dxa"/>
              <w:start w:w="70" w:type="dxa"/>
              <w:bottom w:w="58" w:type="dxa"/>
              <w:end w:w="70" w:type="dxa"/>
            </w:tcMar>
            <w:vAlign w:val="center"/>
          </w:tcPr>
          <w:p>
            <w:pPr>
              <w:pStyle w:val="Compact"/>
              <w:spacing w:after="20" w:line="240" w:lineRule="auto"/>
              <w:jc w:val="left"/>
            </w:pPr>
            <w:r>
              <w:rPr>
                <w:rFonts w:ascii="Liberation Sans" w:hAnsi="Liberation Sans" w:eastAsia="Liberation Sans"/>
                <w:sz w:val="15"/>
              </w:rPr>
              <w:t xml:space="preserve">“</w:t>
            </w:r>
            <w:r>
              <w:rPr>
                <w:rFonts w:ascii="Liberation Sans" w:hAnsi="Liberation Sans" w:eastAsia="Liberation Sans"/>
                <w:sz w:val="15"/>
              </w:rPr>
              <w:t xml:space="preserve">Neutral platform confirmation</w:t>
            </w:r>
            <w:r>
              <w:rPr>
                <w:rFonts w:ascii="Liberation Sans" w:hAnsi="Liberation Sans" w:eastAsia="Liberation Sans"/>
                <w:sz w:val="15"/>
              </w:rPr>
              <w:t xml:space="preserve">”</w:t>
            </w:r>
          </w:p>
        </w:tc>
      </w:tr>
    </w:tbl>
    <w:p>
      <w:pPr>
        <w:pStyle w:val="BodyText"/>
      </w:pPr>
      <w:r>
        <w:t xml:space="preserve">The transformation does not require a fabricated URL. It can occur through accurate retrieval of inaccurate epistemic framing.</w:t>
      </w:r>
    </w:p>
    <w:bookmarkEnd w:id="86"/>
    <w:bookmarkStart w:id="87" w:name="what-low-context-retrieval-means-here"/>
    <w:p>
      <w:pPr>
        <w:pStyle w:val="Heading3"/>
        <w:jc w:val="left"/>
        <w:keepNext/>
        <w:keepLines/>
      </w:pPr>
      <w:r>
        <w:t xml:space="preserve">9.3 What</w:t>
      </w:r>
      <w:r>
        <w:t xml:space="preserve"> </w:t>
      </w:r>
      <w:r>
        <w:t xml:space="preserve">“</w:t>
      </w:r>
      <w:r>
        <w:t xml:space="preserve">low-context retrieval</w:t>
      </w:r>
      <w:r>
        <w:t xml:space="preserve">”</w:t>
      </w:r>
      <w:r>
        <w:t xml:space="preserve"> </w:t>
      </w:r>
      <w:r>
        <w:t xml:space="preserve">means here</w:t>
      </w:r>
    </w:p>
    <w:p>
      <w:pPr>
        <w:pStyle w:val="FirstParagraph"/>
      </w:pPr>
      <w:r>
        <w:t xml:space="preserve">“</w:t>
      </w:r>
      <w:r>
        <w:t xml:space="preserve">Low context</w:t>
      </w:r>
      <w:r>
        <w:t xml:space="preserve">”</w:t>
      </w:r>
      <w:r>
        <w:t xml:space="preserve"> </w:t>
      </w:r>
      <w:r>
        <w:t xml:space="preserve">in this section does not mean that the underlying language model necessarily has a small token window. It describes the</w:t>
      </w:r>
      <w:r>
        <w:t xml:space="preserve"> </w:t>
      </w:r>
      <w:r>
        <w:rPr>
          <w:b/>
          <w:bCs/>
        </w:rPr>
        <w:t xml:space="preserve">retrieval context</w:t>
      </w:r>
      <w:r>
        <w:t xml:space="preserve"> </w:t>
      </w:r>
      <w:r>
        <w:t xml:space="preserve">available for a claim: titles, snippets, profile text, self-posts, archive metadata, and short excerpts may be selected without the full manuscript, the source code, the version history, or the strongest criticism.</w:t>
      </w:r>
    </w:p>
    <w:p>
      <w:pPr>
        <w:pStyle w:val="BodyText"/>
      </w:pPr>
      <w:r>
        <w:t xml:space="preserve">Meta has publicly described Meta AI as available in Facebook search and able to search across the web, while later Facebook AI Mode explicitly grounds answers in public content across Meta’s own apps [33,34]. Google describes AI Overviews and AI Mode as Gemini-powered systems that synthesize web information, issue multiple queries, and present answers with links [35,36]. These systems are designed to compress a source landscape into an answer. Compression is useful; it also creates a provenance bottleneck.</w:t>
      </w:r>
    </w:p>
    <w:p>
      <w:pPr>
        <w:pStyle w:val="BodyText"/>
      </w:pPr>
      <w:r>
        <w:t xml:space="preserve">Generative-search research has documented the problem. Liu, Zhang, and Liang found that only 51.5% of generated sentences in the systems they evaluated were fully supported by citations, while 74.5% of citations supported the associated sentence [37]. The Tow Center later tested eight AI search systems on news attribution and found incorrect answers in more than 60% of queries, often stated with high confidence [38]. A 2026 study distinguishes</w:t>
      </w:r>
      <w:r>
        <w:t xml:space="preserve"> </w:t>
      </w:r>
      <w:r>
        <w:rPr>
          <w:b/>
          <w:bCs/>
        </w:rPr>
        <w:t xml:space="preserve">citation selection</w:t>
      </w:r>
      <w:r>
        <w:t xml:space="preserve"> </w:t>
      </w:r>
      <w:r>
        <w:t xml:space="preserve">from</w:t>
      </w:r>
      <w:r>
        <w:t xml:space="preserve"> </w:t>
      </w:r>
      <w:r>
        <w:rPr>
          <w:b/>
          <w:bCs/>
        </w:rPr>
        <w:t xml:space="preserve">citation absorption</w:t>
      </w:r>
      <w:r>
        <w:t xml:space="preserve">: a page may not merely be cited but may shape the language, evidence, and structure of the generated answer, with semantically aligned and machine-extractable pages exerting greater influence [39].</w:t>
      </w:r>
    </w:p>
    <w:p>
      <w:pPr>
        <w:pStyle w:val="BodyText"/>
      </w:pPr>
      <w:r>
        <w:t xml:space="preserve">Those findings do not prove which source Meta used in Figure 1. They explain why the endpoint is unsurprising. A dense title, repeated declarative abstracts, a PhilPapers record, and matching social posts are highly extractable. A specialist objection buried in a reply thread, a 37,374-line source file, or a theorem hypothesis on page 38 of a JAMS article is not.</w:t>
      </w:r>
    </w:p>
    <w:bookmarkEnd w:id="87"/>
    <w:bookmarkStart w:id="88" w:name="the-exploitation-surface"/>
    <w:p>
      <w:pPr>
        <w:pStyle w:val="Heading3"/>
        <w:jc w:val="left"/>
        <w:keepNext/>
        <w:keepLines/>
      </w:pPr>
      <w:r>
        <w:t xml:space="preserve">9.4 The exploitation surface</w:t>
      </w:r>
    </w:p>
    <w:p>
      <w:pPr>
        <w:pStyle w:val="FirstParagraph"/>
      </w:pPr>
      <w:r>
        <w:t xml:space="preserve">The user describes this as</w:t>
      </w:r>
      <w:r>
        <w:t xml:space="preserve"> </w:t>
      </w:r>
      <w:r>
        <w:t xml:space="preserve">“</w:t>
      </w:r>
      <w:r>
        <w:t xml:space="preserve">AI scraping.</w:t>
      </w:r>
      <w:r>
        <w:t xml:space="preserve">”</w:t>
      </w:r>
      <w:r>
        <w:t xml:space="preserve"> </w:t>
      </w:r>
      <w:r>
        <w:t xml:space="preserve">The more precise term is</w:t>
      </w:r>
      <w:r>
        <w:t xml:space="preserve"> </w:t>
      </w:r>
      <w:r>
        <w:rPr>
          <w:b/>
          <w:bCs/>
        </w:rPr>
        <w:t xml:space="preserve">retrieval-mediated synthesis</w:t>
      </w:r>
      <w:r>
        <w:t xml:space="preserve">. We do not know whether the exact Meta result arose from a crawler, an index, a search API, internal Facebook posts, or a mixture. We also cannot prove that Nielsen deliberately engineered the system. We can document an exploitable structure and the public amplification of its output.</w:t>
      </w:r>
    </w:p>
    <w:p>
      <w:pPr>
        <w:pStyle w:val="BodyText"/>
      </w:pPr>
      <w:r>
        <w:t xml:space="preserve">The attack surface has six steps:</w:t>
      </w:r>
    </w:p>
    <w:p>
      <w:pPr>
        <w:pStyle w:val="Compact"/>
        <w:numPr>
          <w:ilvl w:val="0"/>
          <w:numId w:val="1005"/>
        </w:numPr>
        <w:jc w:val="left"/>
        <w:keepLines/>
      </w:pPr>
      <w:r>
        <w:rPr>
          <w:b/>
          <w:bCs/>
        </w:rPr>
        <w:t xml:space="preserve">Claim packaging.</w:t>
      </w:r>
      <w:r>
        <w:t xml:space="preserve"> </w:t>
      </w:r>
      <w:r>
        <w:t xml:space="preserve">Put a categorical claim in the title and abstract:</w:t>
      </w:r>
      <w:r>
        <w:t xml:space="preserve"> </w:t>
      </w:r>
      <w:r>
        <w:t xml:space="preserve">“</w:t>
      </w:r>
      <w:r>
        <w:t xml:space="preserve">Disproof … and Proof of the Theorem.</w:t>
      </w:r>
      <w:r>
        <w:t xml:space="preserve">”</w:t>
      </w:r>
    </w:p>
    <w:p>
      <w:pPr>
        <w:pStyle w:val="Compact"/>
        <w:numPr>
          <w:ilvl w:val="0"/>
          <w:numId w:val="1005"/>
        </w:numPr>
        <w:jc w:val="left"/>
        <w:keepLines/>
      </w:pPr>
      <w:r>
        <w:rPr>
          <w:b/>
          <w:bCs/>
        </w:rPr>
        <w:t xml:space="preserve">Index acquisition.</w:t>
      </w:r>
      <w:r>
        <w:t xml:space="preserve"> </w:t>
      </w:r>
      <w:r>
        <w:t xml:space="preserve">Deposit it in a scholarly archive whose record resembles a bibliographic authority signal.</w:t>
      </w:r>
    </w:p>
    <w:p>
      <w:pPr>
        <w:pStyle w:val="Compact"/>
        <w:numPr>
          <w:ilvl w:val="0"/>
          <w:numId w:val="1005"/>
        </w:numPr>
        <w:jc w:val="left"/>
        <w:keepLines/>
      </w:pPr>
      <w:r>
        <w:rPr>
          <w:b/>
          <w:bCs/>
        </w:rPr>
        <w:t xml:space="preserve">Semantic repetition.</w:t>
      </w:r>
      <w:r>
        <w:t xml:space="preserve"> </w:t>
      </w:r>
      <w:r>
        <w:t xml:space="preserve">Repeat the same claim across author profiles, posts, reels, and mirrors.</w:t>
      </w:r>
    </w:p>
    <w:p>
      <w:pPr>
        <w:pStyle w:val="Compact"/>
        <w:numPr>
          <w:ilvl w:val="0"/>
          <w:numId w:val="1005"/>
        </w:numPr>
        <w:jc w:val="left"/>
        <w:keepLines/>
      </w:pPr>
      <w:r>
        <w:rPr>
          <w:b/>
          <w:bCs/>
        </w:rPr>
        <w:t xml:space="preserve">Model endorsement.</w:t>
      </w:r>
      <w:r>
        <w:t xml:space="preserve"> </w:t>
      </w:r>
      <w:r>
        <w:t xml:space="preserve">Circulate selected chatbot approvals as independent checking.</w:t>
      </w:r>
    </w:p>
    <w:p>
      <w:pPr>
        <w:pStyle w:val="Compact"/>
        <w:numPr>
          <w:ilvl w:val="0"/>
          <w:numId w:val="1005"/>
        </w:numPr>
        <w:jc w:val="left"/>
        <w:keepLines/>
      </w:pPr>
      <w:r>
        <w:rPr>
          <w:b/>
          <w:bCs/>
        </w:rPr>
        <w:t xml:space="preserve">Retrieval compression.</w:t>
      </w:r>
      <w:r>
        <w:t xml:space="preserve"> </w:t>
      </w:r>
      <w:r>
        <w:t xml:space="preserve">A search layer sees several semantically aligned nodes and summarizes the claim without its review status or dispute.</w:t>
      </w:r>
    </w:p>
    <w:p>
      <w:pPr>
        <w:pStyle w:val="Compact"/>
        <w:numPr>
          <w:ilvl w:val="0"/>
          <w:numId w:val="1005"/>
        </w:numPr>
        <w:jc w:val="left"/>
        <w:keepLines/>
      </w:pPr>
      <w:r>
        <w:rPr>
          <w:b/>
          <w:bCs/>
        </w:rPr>
        <w:t xml:space="preserve">Screenshot recirculation.</w:t>
      </w:r>
      <w:r>
        <w:t xml:space="preserve"> </w:t>
      </w:r>
      <w:r>
        <w:t xml:space="preserve">The summary becomes a new artifact that can itself be indexed, quoted, and shown to further models.</w:t>
      </w:r>
    </w:p>
    <w:p>
      <w:pPr>
        <w:pStyle w:val="FirstParagraph"/>
      </w:pPr>
      <w:r>
        <w:t xml:space="preserve">This is the adjacent organism to ordinary citogenesis; bibliographic fabrication and citation error are already documented failure modes in model-generated scholarship [17]. The original source is not necessarily fictional. The falsehood lies in the</w:t>
      </w:r>
      <w:r>
        <w:t xml:space="preserve"> </w:t>
      </w:r>
      <w:r>
        <w:rPr>
          <w:b/>
          <w:bCs/>
        </w:rPr>
        <w:t xml:space="preserve">epistemic relation</w:t>
      </w:r>
      <w:r>
        <w:t xml:space="preserve"> </w:t>
      </w:r>
      <w:r>
        <w:t xml:space="preserve">among sources: one claim wearing several interfaces is mistaken for several independent confirmations.</w:t>
      </w:r>
    </w:p>
    <w:bookmarkEnd w:id="88"/>
    <w:bookmarkStart w:id="89" w:name="X7c991f528ba56db08c3f5b4122eb689eb3b9781"/>
    <w:p>
      <w:pPr>
        <w:pStyle w:val="Heading3"/>
        <w:jc w:val="left"/>
        <w:keepNext/>
        <w:keepLines/>
      </w:pPr>
      <w:r>
        <w:t xml:space="preserve">9.5 Meta is directly documented; Gemini remains indirect in this corpus</w:t>
      </w:r>
    </w:p>
    <w:p>
      <w:pPr>
        <w:pStyle w:val="FirstParagraph"/>
      </w:pPr>
      <w:r>
        <w:t xml:space="preserve">The supplied screenshots directly document a Meta AI summary. They do not contain the underlying Gemini conversation that allegedly verified the paper. The reel itself attributes verification to Gemini, and other public posts refer to multiple model approvals, but that is secondary reporting by the promotional corpus, not direct Gemini evidence [22,32].</w:t>
      </w:r>
    </w:p>
    <w:p>
      <w:pPr>
        <w:pStyle w:val="BodyText"/>
      </w:pPr>
      <w:r>
        <w:t xml:space="preserve">Accordingly, this paper does not say</w:t>
      </w:r>
      <w:r>
        <w:t xml:space="preserve"> </w:t>
      </w:r>
      <w:r>
        <w:t xml:space="preserve">“</w:t>
      </w:r>
      <w:r>
        <w:t xml:space="preserve">Gemini independently verified the theorem.</w:t>
      </w:r>
      <w:r>
        <w:t xml:space="preserve">”</w:t>
      </w:r>
      <w:r>
        <w:t xml:space="preserve"> </w:t>
      </w:r>
      <w:r>
        <w:t xml:space="preserve">It says that Gemini was</w:t>
      </w:r>
      <w:r>
        <w:t xml:space="preserve"> </w:t>
      </w:r>
      <w:r>
        <w:rPr>
          <w:b/>
          <w:bCs/>
        </w:rPr>
        <w:t xml:space="preserve">represented</w:t>
      </w:r>
      <w:r>
        <w:t xml:space="preserve"> </w:t>
      </w:r>
      <w:r>
        <w:t xml:space="preserve">as an independent verifier and that Gemini-powered search systems belong to the same broader generative-retrieval risk class. A direct Gemini screenshot with prompt, response, model label, date, and sources would strengthen the case-specific record and should be added in a later supplement if available.</w:t>
      </w:r>
    </w:p>
    <w:bookmarkEnd w:id="89"/>
    <w:bookmarkStart w:id="90" w:name="why-the-misinformation-matters"/>
    <w:p>
      <w:pPr>
        <w:pStyle w:val="Heading3"/>
        <w:jc w:val="left"/>
        <w:keepNext/>
        <w:keepLines/>
      </w:pPr>
      <w:r>
        <w:t xml:space="preserve">9.6 Why the misinformation matters</w:t>
      </w:r>
    </w:p>
    <w:p>
      <w:pPr>
        <w:pStyle w:val="FirstParagraph"/>
      </w:pPr>
      <w:r>
        <w:t xml:space="preserve">The error is not confined to one Facebook result. Generative summaries are often the first and last layer a reader sees. A claim written as</w:t>
      </w:r>
      <w:r>
        <w:t xml:space="preserve"> </w:t>
      </w:r>
      <w:r>
        <w:t xml:space="preserve">“</w:t>
      </w:r>
      <w:r>
        <w:t xml:space="preserve">the author says X</w:t>
      </w:r>
      <w:r>
        <w:t xml:space="preserve">”</w:t>
      </w:r>
      <w:r>
        <w:t xml:space="preserve"> </w:t>
      </w:r>
      <w:r>
        <w:t xml:space="preserve">can be compressed into</w:t>
      </w:r>
      <w:r>
        <w:t xml:space="preserve"> </w:t>
      </w:r>
      <w:r>
        <w:t xml:space="preserve">“</w:t>
      </w:r>
      <w:r>
        <w:t xml:space="preserve">X happened.</w:t>
      </w:r>
      <w:r>
        <w:t xml:space="preserve">”</w:t>
      </w:r>
      <w:r>
        <w:t xml:space="preserve"> </w:t>
      </w:r>
      <w:r>
        <w:t xml:space="preserve">A preprint record can become a credential. A model’s conditional answer can become a quote saying the proof is flawless. The reader receives a polished conclusion while the uncertainty, version status, and dissent have been shaved away.</w:t>
      </w:r>
    </w:p>
    <w:p>
      <w:pPr>
        <w:pStyle w:val="BodyText"/>
      </w:pPr>
      <w:r>
        <w:t xml:space="preserve">The result is especially dangerous in technical domains because ordinary users cannot cheaply inspect the source.</w:t>
      </w:r>
      <w:r>
        <w:t xml:space="preserve"> </w:t>
      </w:r>
      <w:r>
        <w:t xml:space="preserve">“</w:t>
      </w:r>
      <w:r>
        <w:t xml:space="preserve">ICC,</w:t>
      </w:r>
      <w:r>
        <w:t xml:space="preserve">”</w:t>
      </w:r>
      <w:r>
        <w:t xml:space="preserve"> </w:t>
      </w:r>
      <w:r>
        <w:t xml:space="preserve">“</w:t>
      </w:r>
      <w:r>
        <w:t xml:space="preserve">property (T),</w:t>
      </w:r>
      <w:r>
        <w:t xml:space="preserve">”</w:t>
      </w:r>
      <w:r>
        <w:t xml:space="preserve"> </w:t>
      </w:r>
      <w:r>
        <w:t xml:space="preserve">“</w:t>
      </w:r>
      <w:r>
        <w:t xml:space="preserve">Popa intertwining,</w:t>
      </w:r>
      <w:r>
        <w:t xml:space="preserve">”</w:t>
      </w:r>
      <w:r>
        <w:t xml:space="preserve"> </w:t>
      </w:r>
      <w:r>
        <w:t xml:space="preserve">and</w:t>
      </w:r>
      <w:r>
        <w:t xml:space="preserve"> </w:t>
      </w:r>
      <w:r>
        <w:t xml:space="preserve">“</w:t>
      </w:r>
      <w:r>
        <w:t xml:space="preserve">Lean formalization</w:t>
      </w:r>
      <w:r>
        <w:t xml:space="preserve">”</w:t>
      </w:r>
      <w:r>
        <w:t xml:space="preserve"> </w:t>
      </w:r>
      <w:r>
        <w:t xml:space="preserve">sound like verification seals. A low-context summarizer is therefore likely to weight the visible signals of rigor more heavily than the invisible failure of a theorem hypothesis.</w:t>
      </w:r>
    </w:p>
    <w:p>
      <w:pPr>
        <w:pStyle w:val="BodyText"/>
      </w:pPr>
      <w:r>
        <w:t xml:space="preserve">This is how a confabulated paper can become public misinformation without a single central editor deciding to deceive. The manuscript supplies the language; the index supplies the scholarly costume; the model supplies fluency; the platform supplies reach; and the screenshot supplies social proof.</w:t>
      </w:r>
    </w:p>
    <w:bookmarkEnd w:id="90"/>
    <w:bookmarkStart w:id="94" w:name="Xf85e40e8d228646f273f0a5dd5ba9d7af5e723a"/>
    <w:p>
      <w:pPr>
        <w:pStyle w:val="Heading3"/>
        <w:jc w:val="left"/>
        <w:keepNext/>
        <w:keepLines/>
      </w:pPr>
      <w:r>
        <w:t xml:space="preserve">9.7 Unattributed advocacy and portable synthetic authority</w:t>
      </w:r>
    </w:p>
    <w:p>
      <w:pPr>
        <w:pStyle w:val="FirstParagraph"/>
      </w:pPr>
      <w:r>
        <w:t xml:space="preserve">During the same controversy, a newly created Hacker News account,</w:t>
      </w:r>
      <w:r>
        <w:t xml:space="preserve"> </w:t>
      </w:r>
      <w:r>
        <w:rPr>
          <w:rStyle w:val="VerbatimChar"/>
        </w:rPr>
        <w:t xml:space="preserve">MoonUnit97</w:t>
      </w:r>
      <w:r>
        <w:t xml:space="preserve">, entered the discussion and defended Nielsen in the third person. The supplied screenshots show the account as three days old with no established posting history. Its comments repeat unusually specific elements of the cross-platform promotional script: that Claude Opus 4.6 in a</w:t>
      </w:r>
      <w:r>
        <w:t xml:space="preserve"> </w:t>
      </w:r>
      <w:r>
        <w:t xml:space="preserve">“</w:t>
      </w:r>
      <w:r>
        <w:t xml:space="preserve">fresh incognito</w:t>
      </w:r>
      <w:r>
        <w:t xml:space="preserve">”</w:t>
      </w:r>
      <w:r>
        <w:t xml:space="preserve"> </w:t>
      </w:r>
      <w:r>
        <w:t xml:space="preserve">session had validated the proof repeatedly; that Grok, when forced to bet, preferred Nielsen and Opus over Astra/OpenAI; that Nielsen’s Chambliss award, FQXi recognition, academic honors, and physicist status answer allegations of crankery; that her other major-problem claims are merely</w:t>
      </w:r>
      <w:r>
        <w:t xml:space="preserve"> </w:t>
      </w:r>
      <w:r>
        <w:t xml:space="preserve">“</w:t>
      </w:r>
      <w:r>
        <w:t xml:space="preserve">proposals</w:t>
      </w:r>
      <w:r>
        <w:t xml:space="preserve">”</w:t>
      </w:r>
      <w:r>
        <w:t xml:space="preserve">; and that critics should read the current PhilPapers version or Nielsen’s linked X response [40].</w:t>
      </w:r>
    </w:p>
    <w:p>
      <w:pPr>
        <w:pStyle w:val="BodyText"/>
      </w:pPr>
      <w:r>
        <w:t xml:space="preserve">These correspondences are consistent with self-advocacy or advocacy conducted in close coordination with the author. They do not establish account ownership. A friend, collaborator, admirer, or highly invested reader could repeat every public claim. We have no platform records, admission, shared contact information, or nonpublic fact that authenticates the operator. The paper therefore does not attribute</w:t>
      </w:r>
      <w:r>
        <w:t xml:space="preserve"> </w:t>
      </w:r>
      <w:r>
        <w:rPr>
          <w:rStyle w:val="VerbatimChar"/>
        </w:rPr>
        <w:t xml:space="preserve">MoonUnit97</w:t>
      </w:r>
      <w:r>
        <w:t xml:space="preserve"> </w:t>
      </w:r>
      <w:r>
        <w:t xml:space="preserve">to Nielsen.</w:t>
      </w:r>
    </w:p>
    <w:p>
      <w:pPr>
        <w:pStyle w:val="CaptionedFigure"/>
      </w:pPr>
      <w:r>
        <w:drawing>
          <wp:inline>
            <wp:extent cx="5067300" cy="3152986"/>
            <wp:effectExtent b="0" l="0" r="0" t="0"/>
            <wp:docPr descr="Hacker News profile and comments from a newly created account repeating specific Opus, Grok, credential, and workflow claims; account ownership is not attributed." title="Unattributed advocacy" id="92" name="Picture"/>
            <a:graphic>
              <a:graphicData uri="http://schemas.openxmlformats.org/drawingml/2006/picture">
                <pic:pic>
                  <pic:nvPicPr>
                    <pic:cNvPr descr="figures/figure9_unattributed_advocacy.png" id="93" name="Picture"/>
                    <pic:cNvPicPr>
                      <a:picLocks noChangeArrowheads="1" noChangeAspect="1"/>
                    </pic:cNvPicPr>
                  </pic:nvPicPr>
                  <pic:blipFill>
                    <a:blip r:embed="rId91"/>
                    <a:stretch>
                      <a:fillRect/>
                    </a:stretch>
                  </pic:blipFill>
                  <pic:spPr bwMode="auto">
                    <a:xfrm>
                      <a:off x="0" y="0"/>
                      <a:ext cx="5067300" cy="3152986"/>
                    </a:xfrm>
                    <a:prstGeom prst="rect">
                      <a:avLst/>
                    </a:prstGeom>
                    <a:noFill/>
                    <a:ln w="9525">
                      <a:noFill/>
                      <a:headEnd/>
                      <a:tailEnd/>
                    </a:ln>
                  </pic:spPr>
                </pic:pic>
              </a:graphicData>
            </a:graphic>
          </wp:inline>
        </w:drawing>
      </w:r>
    </w:p>
    <w:p>
      <w:pPr>
        <w:pStyle w:val="ImageCaption"/>
      </w:pPr>
      <w:r>
        <w:t xml:space="preserve">Unattributed cross-platform advocacy. A newly created Hacker News account repeats the specific Opus, Grok, credential, and workflow claims used elsewhere. The operator is not identified.</w:t>
      </w:r>
    </w:p>
    <w:p>
      <w:pPr>
        <w:pStyle w:val="BodyText"/>
      </w:pPr>
      <w:r>
        <w:t xml:space="preserve">The episode remains relevant without identity. It shows selected AI outputs becoming</w:t>
      </w:r>
      <w:r>
        <w:t xml:space="preserve"> </w:t>
      </w:r>
      <w:r>
        <w:rPr>
          <w:b/>
          <w:bCs/>
        </w:rPr>
        <w:t xml:space="preserve">portable synthetic authority</w:t>
      </w:r>
      <w:r>
        <w:t xml:space="preserve">.</w:t>
      </w:r>
      <w:r>
        <w:t xml:space="preserve"> </w:t>
      </w:r>
      <w:r>
        <w:t xml:space="preserve">“</w:t>
      </w:r>
      <w:r>
        <w:t xml:space="preserve">Opus validated it</w:t>
      </w:r>
      <w:r>
        <w:t xml:space="preserve">”</w:t>
      </w:r>
      <w:r>
        <w:t xml:space="preserve"> </w:t>
      </w:r>
      <w:r>
        <w:t xml:space="preserve">and</w:t>
      </w:r>
      <w:r>
        <w:t xml:space="preserve"> </w:t>
      </w:r>
      <w:r>
        <w:t xml:space="preserve">“</w:t>
      </w:r>
      <w:r>
        <w:t xml:space="preserve">Grok would bet on her</w:t>
      </w:r>
      <w:r>
        <w:t xml:space="preserve">”</w:t>
      </w:r>
      <w:r>
        <w:t xml:space="preserve"> </w:t>
      </w:r>
      <w:r>
        <w:t xml:space="preserve">migrate from prompted sessions to X, Facebook, and Hacker News, where they function as credential-shaped objects rather than arguments. The account also applies asymmetric standards: OpenAI’s lack of journal publication is treated as evidence of weakness and disrespect for science, while Nielsen’s self-uploaded manuscript is defended through chatbot endorsements and PhilPapers links.</w:t>
      </w:r>
    </w:p>
    <w:p>
      <w:pPr>
        <w:pStyle w:val="BodyText"/>
      </w:pPr>
      <w:r>
        <w:t xml:space="preserve">The claim that Nielsen</w:t>
      </w:r>
      <w:r>
        <w:t xml:space="preserve"> </w:t>
      </w:r>
      <w:r>
        <w:t xml:space="preserve">“</w:t>
      </w:r>
      <w:r>
        <w:t xml:space="preserve">does not make high risk claims</w:t>
      </w:r>
      <w:r>
        <w:t xml:space="preserve">”</w:t>
      </w:r>
      <w:r>
        <w:t xml:space="preserve"> </w:t>
      </w:r>
      <w:r>
        <w:t xml:space="preserve">and merely labels the work</w:t>
      </w:r>
      <w:r>
        <w:t xml:space="preserve"> </w:t>
      </w:r>
      <w:r>
        <w:t xml:space="preserve">“</w:t>
      </w:r>
      <w:r>
        <w:t xml:space="preserve">proposals</w:t>
      </w:r>
      <w:r>
        <w:t xml:space="preserve">”</w:t>
      </w:r>
      <w:r>
        <w:t xml:space="preserve"> </w:t>
      </w:r>
      <w:r>
        <w:t xml:space="preserve">is also contradicted by the manuscript’s categorical title and abstract. Version 50 says that three counterexamples are invalid and that the same move proves the conjecture itself [30]. That documentary contradiction does not depend on who controlled the account.</w:t>
      </w:r>
    </w:p>
    <w:bookmarkEnd w:id="94"/>
    <w:bookmarkStart w:id="95" w:name="X2c4f4383772bd29fd51955855a464baee72d0a7"/>
    <w:p>
      <w:pPr>
        <w:pStyle w:val="Heading3"/>
        <w:jc w:val="left"/>
        <w:keepNext/>
        <w:keepLines/>
      </w:pPr>
      <w:r>
        <w:t xml:space="preserve">9.8 The grift-compatible incentive without a motive claim</w:t>
      </w:r>
    </w:p>
    <w:p>
      <w:pPr>
        <w:pStyle w:val="FirstParagraph"/>
      </w:pPr>
      <w:r>
        <w:t xml:space="preserve">Attention markets reward scope, novelty, conflict, and speed.</w:t>
      </w:r>
      <w:r>
        <w:t xml:space="preserve"> </w:t>
      </w:r>
      <w:r>
        <w:t xml:space="preserve">“</w:t>
      </w:r>
      <w:r>
        <w:t xml:space="preserve">A technical gap remains</w:t>
      </w:r>
      <w:r>
        <w:t xml:space="preserve">”</w:t>
      </w:r>
      <w:r>
        <w:t xml:space="preserve"> </w:t>
      </w:r>
      <w:r>
        <w:t xml:space="preserve">receives less engagement than</w:t>
      </w:r>
      <w:r>
        <w:t xml:space="preserve"> </w:t>
      </w:r>
      <w:r>
        <w:t xml:space="preserve">“</w:t>
      </w:r>
      <w:r>
        <w:t xml:space="preserve">human proves famous AI wrong and resolves a major conjecture.</w:t>
      </w:r>
      <w:r>
        <w:t xml:space="preserve">”</w:t>
      </w:r>
      <w:r>
        <w:t xml:space="preserve"> </w:t>
      </w:r>
      <w:r>
        <w:t xml:space="preserve">Archive uploads, verification badges, model screenshots, and increasingly grand titles can convert attention into followers, invitations, donations, consulting opportunities, or status. That is a grift-compatible incentive structure even when deliberate grifting cannot be proved.</w:t>
      </w:r>
    </w:p>
    <w:p>
      <w:pPr>
        <w:pStyle w:val="BodyText"/>
      </w:pPr>
      <w:r>
        <w:t xml:space="preserve">The appropriate response is not to speculate about motive. It is to reduce the payoff of unverifiable presentation and make review status harder to launder.</w:t>
      </w:r>
    </w:p>
    <w:bookmarkEnd w:id="95"/>
    <w:bookmarkEnd w:id="96"/>
    <w:bookmarkStart w:id="103" w:name="recommendations"/>
    <w:p>
      <w:pPr>
        <w:pStyle w:val="Heading2"/>
        <w:jc w:val="left"/>
        <w:keepNext/>
        <w:keepLines/>
      </w:pPr>
      <w:r>
        <w:t xml:space="preserve">10. Recommendations</w:t>
      </w:r>
    </w:p>
    <w:bookmarkStart w:id="97" w:name="for-authors-using-ai"/>
    <w:p>
      <w:pPr>
        <w:pStyle w:val="Heading3"/>
        <w:jc w:val="left"/>
        <w:keepNext/>
        <w:keepLines/>
      </w:pPr>
      <w:r>
        <w:t xml:space="preserve">10.1 For authors using AI</w:t>
      </w:r>
    </w:p>
    <w:p>
      <w:pPr>
        <w:pStyle w:val="FirstParagraph"/>
      </w:pPr>
      <w:r>
        <w:t xml:space="preserve">Authors should freeze each public version, publish checksums, and provide a change log distinguishing correction from expansion. Every major claim should have a stated loss condition. Prompts used for validation should be disclosed, especially when prior context or memories are enabled. Model outputs should be preserved whether favorable or adverse. Source files, scripts, and exact commands should accompany reproducibility claims.</w:t>
      </w:r>
    </w:p>
    <w:p>
      <w:pPr>
        <w:pStyle w:val="BodyText"/>
      </w:pPr>
      <w:r>
        <w:t xml:space="preserve">A useful minimum review packet includes:</w:t>
      </w:r>
    </w:p>
    <w:p>
      <w:pPr>
        <w:pStyle w:val="Compact"/>
        <w:numPr>
          <w:ilvl w:val="0"/>
          <w:numId w:val="1006"/>
        </w:numPr>
        <w:jc w:val="left"/>
        <w:keepLines/>
      </w:pPr>
      <w:r>
        <w:t xml:space="preserve">manuscript version and hash;</w:t>
      </w:r>
    </w:p>
    <w:p>
      <w:pPr>
        <w:pStyle w:val="Compact"/>
        <w:numPr>
          <w:ilvl w:val="0"/>
          <w:numId w:val="1006"/>
        </w:numPr>
        <w:jc w:val="left"/>
        <w:keepLines/>
      </w:pPr>
      <w:r>
        <w:t xml:space="preserve">primary-source list;</w:t>
      </w:r>
    </w:p>
    <w:p>
      <w:pPr>
        <w:pStyle w:val="Compact"/>
        <w:numPr>
          <w:ilvl w:val="0"/>
          <w:numId w:val="1006"/>
        </w:numPr>
        <w:jc w:val="left"/>
        <w:keepLines/>
      </w:pPr>
      <w:r>
        <w:t xml:space="preserve">clean-room prompt;</w:t>
      </w:r>
    </w:p>
    <w:p>
      <w:pPr>
        <w:pStyle w:val="Compact"/>
        <w:numPr>
          <w:ilvl w:val="0"/>
          <w:numId w:val="1006"/>
        </w:numPr>
        <w:jc w:val="left"/>
        <w:keepLines/>
      </w:pPr>
      <w:r>
        <w:t xml:space="preserve">strongest-defense and strongest-attack prompts;</w:t>
      </w:r>
    </w:p>
    <w:p>
      <w:pPr>
        <w:pStyle w:val="Compact"/>
        <w:numPr>
          <w:ilvl w:val="0"/>
          <w:numId w:val="1006"/>
        </w:numPr>
        <w:jc w:val="left"/>
        <w:keepLines/>
      </w:pPr>
      <w:r>
        <w:t xml:space="preserve">model, provider, context, and conflict disclosures;</w:t>
      </w:r>
    </w:p>
    <w:p>
      <w:pPr>
        <w:pStyle w:val="Compact"/>
        <w:numPr>
          <w:ilvl w:val="0"/>
          <w:numId w:val="1006"/>
        </w:numPr>
        <w:jc w:val="left"/>
        <w:keepLines/>
      </w:pPr>
      <w:r>
        <w:t xml:space="preserve">correction ledger;</w:t>
      </w:r>
    </w:p>
    <w:p>
      <w:pPr>
        <w:pStyle w:val="Compact"/>
        <w:numPr>
          <w:ilvl w:val="0"/>
          <w:numId w:val="1006"/>
        </w:numPr>
        <w:jc w:val="left"/>
        <w:keepLines/>
      </w:pPr>
      <w:r>
        <w:t xml:space="preserve">code and deterministic output where available;</w:t>
      </w:r>
    </w:p>
    <w:p>
      <w:pPr>
        <w:pStyle w:val="Compact"/>
        <w:numPr>
          <w:ilvl w:val="0"/>
          <w:numId w:val="1006"/>
        </w:numPr>
        <w:jc w:val="left"/>
        <w:keepLines/>
      </w:pPr>
      <w:r>
        <w:t xml:space="preserve">claims matrix separating proved, tested, inferred, and speculative statements;</w:t>
      </w:r>
    </w:p>
    <w:p>
      <w:pPr>
        <w:pStyle w:val="Compact"/>
        <w:numPr>
          <w:ilvl w:val="0"/>
          <w:numId w:val="1006"/>
        </w:numPr>
        <w:jc w:val="left"/>
        <w:keepLines/>
      </w:pPr>
      <w:r>
        <w:t xml:space="preserve">every adverse output, not merely selected approvals;</w:t>
      </w:r>
    </w:p>
    <w:p>
      <w:pPr>
        <w:pStyle w:val="Compact"/>
        <w:numPr>
          <w:ilvl w:val="0"/>
          <w:numId w:val="1006"/>
        </w:numPr>
        <w:jc w:val="left"/>
        <w:keepLines/>
      </w:pPr>
      <w:r>
        <w:t xml:space="preserve">explicit statement of what would cause withdrawal.</w:t>
      </w:r>
    </w:p>
    <w:p>
      <w:pPr>
        <w:pStyle w:val="FirstParagraph"/>
      </w:pPr>
      <w:r>
        <w:t xml:space="preserve">AI assistance should be disclosed by function, consistent with emerging risk-management and publication guidance [15,16].</w:t>
      </w:r>
      <w:r>
        <w:t xml:space="preserve"> </w:t>
      </w:r>
      <w:r>
        <w:t xml:space="preserve">“</w:t>
      </w:r>
      <w:r>
        <w:t xml:space="preserve">Used AI</w:t>
      </w:r>
      <w:r>
        <w:t xml:space="preserve">”</w:t>
      </w:r>
      <w:r>
        <w:t xml:space="preserve"> </w:t>
      </w:r>
      <w:r>
        <w:t xml:space="preserve">is too vague;</w:t>
      </w:r>
      <w:r>
        <w:t xml:space="preserve"> </w:t>
      </w:r>
      <w:r>
        <w:t xml:space="preserve">“</w:t>
      </w:r>
      <w:r>
        <w:t xml:space="preserve">Claude generated the Lean appendices,</w:t>
      </w:r>
      <w:r>
        <w:t xml:space="preserve">”</w:t>
      </w:r>
      <w:r>
        <w:t xml:space="preserve"> </w:t>
      </w:r>
      <w:r>
        <w:t xml:space="preserve">“</w:t>
      </w:r>
      <w:r>
        <w:t xml:space="preserve">Codex executed the build,</w:t>
      </w:r>
      <w:r>
        <w:t xml:space="preserve">”</w:t>
      </w:r>
      <w:r>
        <w:t xml:space="preserve"> </w:t>
      </w:r>
      <w:r>
        <w:t xml:space="preserve">and</w:t>
      </w:r>
      <w:r>
        <w:t xml:space="preserve"> </w:t>
      </w:r>
      <w:r>
        <w:t xml:space="preserve">“</w:t>
      </w:r>
      <w:r>
        <w:t xml:space="preserve">GPT drafted prose later edited by the human author</w:t>
      </w:r>
      <w:r>
        <w:t xml:space="preserve">”</w:t>
      </w:r>
      <w:r>
        <w:t xml:space="preserve"> </w:t>
      </w:r>
      <w:r>
        <w:t xml:space="preserve">are auditable statements. Authors should not narrow a public disclosure to</w:t>
      </w:r>
      <w:r>
        <w:t xml:space="preserve"> </w:t>
      </w:r>
      <w:r>
        <w:t xml:space="preserve">“</w:t>
      </w:r>
      <w:r>
        <w:t xml:space="preserve">finding hinge points</w:t>
      </w:r>
      <w:r>
        <w:t xml:space="preserve">”</w:t>
      </w:r>
      <w:r>
        <w:t xml:space="preserve"> </w:t>
      </w:r>
      <w:r>
        <w:t xml:space="preserve">if AI-produced formal artifacts are being offered as support.</w:t>
      </w:r>
    </w:p>
    <w:bookmarkEnd w:id="97"/>
    <w:bookmarkStart w:id="98" w:name="for-repositories-and-scholarly-indexes"/>
    <w:p>
      <w:pPr>
        <w:pStyle w:val="Heading3"/>
        <w:jc w:val="left"/>
        <w:keepNext/>
        <w:keepLines/>
      </w:pPr>
      <w:r>
        <w:t xml:space="preserve">10.2 For repositories and scholarly indexes</w:t>
      </w:r>
    </w:p>
    <w:p>
      <w:pPr>
        <w:pStyle w:val="FirstParagraph"/>
        <w:jc w:val="left"/>
      </w:pPr>
      <w:r>
        <w:t xml:space="preserve">Repositories should expose machine-readable fields for</w:t>
      </w:r>
      <w:r>
        <w:t xml:space="preserve"> </w:t>
      </w:r>
      <w:r>
        <w:rPr>
          <w:rStyle w:val="VerbatimChar"/>
        </w:rPr>
        <w:t xml:space="preserve">peer_review_status</w:t>
      </w:r>
      <w:r>
        <w:t xml:space="preserve">,</w:t>
      </w:r>
      <w:r>
        <w:t xml:space="preserve"> </w:t>
      </w:r>
      <w:r>
        <w:rPr>
          <w:rStyle w:val="VerbatimChar"/>
        </w:rPr>
        <w:t xml:space="preserve">manuscript_version</w:t>
      </w:r>
      <w:r>
        <w:t xml:space="preserve">,</w:t>
      </w:r>
      <w:r>
        <w:t xml:space="preserve"> </w:t>
      </w:r>
      <w:r>
        <w:rPr>
          <w:rStyle w:val="VerbatimChar"/>
        </w:rPr>
        <w:t xml:space="preserve">supersedes</w:t>
      </w:r>
      <w:r>
        <w:t xml:space="preserve">,</w:t>
      </w:r>
      <w:r>
        <w:t xml:space="preserve"> </w:t>
      </w:r>
      <w:r>
        <w:rPr>
          <w:rStyle w:val="VerbatimChar"/>
        </w:rPr>
        <w:t xml:space="preserve">AI_use_disclosed</w:t>
      </w:r>
      <w:r>
        <w:t xml:space="preserve">,</w:t>
      </w:r>
      <w:r>
        <w:t xml:space="preserve"> </w:t>
      </w:r>
      <w:r>
        <w:rPr>
          <w:rStyle w:val="VerbatimChar"/>
        </w:rPr>
        <w:t xml:space="preserve">AI_contribution_type</w:t>
      </w:r>
      <w:r>
        <w:t xml:space="preserve">,</w:t>
      </w:r>
      <w:r>
        <w:t xml:space="preserve"> </w:t>
      </w:r>
      <w:r>
        <w:rPr>
          <w:rStyle w:val="VerbatimChar"/>
        </w:rPr>
        <w:t xml:space="preserve">independent_replication_status</w:t>
      </w:r>
      <w:r>
        <w:t xml:space="preserve">, and</w:t>
      </w:r>
      <w:r>
        <w:t xml:space="preserve"> </w:t>
      </w:r>
      <w:r>
        <w:rPr>
          <w:rStyle w:val="VerbatimChar"/>
        </w:rPr>
        <w:t xml:space="preserve">active_dispute</w:t>
      </w:r>
      <w:r>
        <w:t xml:space="preserve">. Search snippets should display</w:t>
      </w:r>
      <w:r>
        <w:t xml:space="preserve"> </w:t>
      </w:r>
      <w:r>
        <w:t xml:space="preserve">“</w:t>
      </w:r>
      <w:r>
        <w:t xml:space="preserve">user-submitted manuscript; not peer reviewed</w:t>
      </w:r>
      <w:r>
        <w:t xml:space="preserve">”</w:t>
      </w:r>
      <w:r>
        <w:t xml:space="preserve"> </w:t>
      </w:r>
      <w:r>
        <w:t xml:space="preserve">as prominently as title and author. Rapidly changing records should show version count, timestamps, and visible diffs.</w:t>
      </w:r>
    </w:p>
    <w:p>
      <w:pPr>
        <w:pStyle w:val="BodyText"/>
      </w:pPr>
      <w:r>
        <w:t xml:space="preserve">Archive records should distinguish author-supplied abstracts from editorial summaries. Downstream APIs should preserve that distinction. A sentence beginning</w:t>
      </w:r>
      <w:r>
        <w:t xml:space="preserve"> </w:t>
      </w:r>
      <w:r>
        <w:t xml:space="preserve">“</w:t>
      </w:r>
      <w:r>
        <w:t xml:space="preserve">This manuscript claims…</w:t>
      </w:r>
      <w:r>
        <w:t xml:space="preserve">”</w:t>
      </w:r>
      <w:r>
        <w:t xml:space="preserve"> </w:t>
      </w:r>
      <w:r>
        <w:t xml:space="preserve">should not arrive at a search layer as</w:t>
      </w:r>
      <w:r>
        <w:t xml:space="preserve"> </w:t>
      </w:r>
      <w:r>
        <w:t xml:space="preserve">“</w:t>
      </w:r>
      <w:r>
        <w:t xml:space="preserve">The author proved….</w:t>
      </w:r>
      <w:r>
        <w:t xml:space="preserve">”</w:t>
      </w:r>
    </w:p>
    <w:p>
      <w:pPr>
        <w:pStyle w:val="BodyText"/>
      </w:pPr>
      <w:r>
        <w:t xml:space="preserve">PhilArchive is valuable precisely because it permits rapid public circulation. The remedy is not to turn it into a journal. The remedy is to prevent downstream systems from treating inclusion as referee endorsement.</w:t>
      </w:r>
    </w:p>
    <w:bookmarkEnd w:id="98"/>
    <w:bookmarkStart w:id="99" w:name="X7831a7046d8810715c848e44656a960c17a95ef"/>
    <w:p>
      <w:pPr>
        <w:pStyle w:val="Heading3"/>
        <w:jc w:val="left"/>
        <w:keepNext/>
        <w:keepLines/>
      </w:pPr>
      <w:r>
        <w:t xml:space="preserve">10.3 For model providers and generative-search layers</w:t>
      </w:r>
    </w:p>
    <w:p>
      <w:pPr>
        <w:pStyle w:val="FirstParagraph"/>
      </w:pPr>
      <w:r>
        <w:t xml:space="preserve">Models asked to review a paper should first extract its premises, label which came from the user, and confirm them against primary sources before judging the reasoning. Review mode should default to version pinning, conflict disclosure, an explicit search for defeat, and preservation of dissent. Repeated rejection of an adverse answer without new evidence should not silently converge to agreement.</w:t>
      </w:r>
    </w:p>
    <w:p>
      <w:pPr>
        <w:pStyle w:val="BodyText"/>
      </w:pPr>
      <w:r>
        <w:t xml:space="preserve">Generative-search systems should distinguish:</w:t>
      </w:r>
    </w:p>
    <w:p>
      <w:pPr>
        <w:pStyle w:val="Compact"/>
        <w:numPr>
          <w:ilvl w:val="0"/>
          <w:numId w:val="1007"/>
        </w:numPr>
        <w:jc w:val="left"/>
        <w:keepLines/>
      </w:pPr>
      <w:r>
        <w:t xml:space="preserve">“</w:t>
      </w:r>
      <w:r>
        <w:t xml:space="preserve">the author claims X</w:t>
      </w:r>
      <w:r>
        <w:t xml:space="preserve">”</w:t>
      </w:r>
      <w:r>
        <w:t xml:space="preserve">;</w:t>
      </w:r>
    </w:p>
    <w:p>
      <w:pPr>
        <w:pStyle w:val="Compact"/>
        <w:numPr>
          <w:ilvl w:val="0"/>
          <w:numId w:val="1007"/>
        </w:numPr>
        <w:jc w:val="left"/>
        <w:keepLines/>
      </w:pPr>
      <w:r>
        <w:t xml:space="preserve">“</w:t>
      </w:r>
      <w:r>
        <w:t xml:space="preserve">a manuscript indexed at Y claims X</w:t>
      </w:r>
      <w:r>
        <w:t xml:space="preserve">”</w:t>
      </w:r>
      <w:r>
        <w:t xml:space="preserve">;</w:t>
      </w:r>
    </w:p>
    <w:p>
      <w:pPr>
        <w:pStyle w:val="Compact"/>
        <w:numPr>
          <w:ilvl w:val="0"/>
          <w:numId w:val="1007"/>
        </w:numPr>
        <w:jc w:val="left"/>
        <w:keepLines/>
      </w:pPr>
      <w:r>
        <w:t xml:space="preserve">“</w:t>
      </w:r>
      <w:r>
        <w:t xml:space="preserve">peer-reviewed work establishes X</w:t>
      </w:r>
      <w:r>
        <w:t xml:space="preserve">”</w:t>
      </w:r>
      <w:r>
        <w:t xml:space="preserve">;</w:t>
      </w:r>
    </w:p>
    <w:p>
      <w:pPr>
        <w:pStyle w:val="Compact"/>
        <w:numPr>
          <w:ilvl w:val="0"/>
          <w:numId w:val="1007"/>
        </w:numPr>
        <w:jc w:val="left"/>
        <w:keepLines/>
      </w:pPr>
      <w:r>
        <w:t xml:space="preserve">“</w:t>
      </w:r>
      <w:r>
        <w:t xml:space="preserve">an independent specialist review supports X</w:t>
      </w:r>
      <w:r>
        <w:t xml:space="preserve">”</w:t>
      </w:r>
      <w:r>
        <w:t xml:space="preserve">;</w:t>
      </w:r>
    </w:p>
    <w:p>
      <w:pPr>
        <w:pStyle w:val="Compact"/>
        <w:numPr>
          <w:ilvl w:val="0"/>
          <w:numId w:val="1007"/>
        </w:numPr>
        <w:jc w:val="left"/>
        <w:keepLines/>
      </w:pPr>
      <w:r>
        <w:t xml:space="preserve">“</w:t>
      </w:r>
      <w:r>
        <w:t xml:space="preserve">a language model produced an approving answer about X.</w:t>
      </w:r>
      <w:r>
        <w:t xml:space="preserve">”</w:t>
      </w:r>
    </w:p>
    <w:p>
      <w:pPr>
        <w:pStyle w:val="FirstParagraph"/>
      </w:pPr>
      <w:r>
        <w:t xml:space="preserve">These are different epistemic states. Collapsing them is authority laundering by interface.</w:t>
      </w:r>
    </w:p>
    <w:p>
      <w:pPr>
        <w:pStyle w:val="BodyText"/>
      </w:pPr>
      <w:r>
        <w:t xml:space="preserve">For contested technical claims, answer layers should display source diversity and provenance, not only link count. Five mirrors of one abstract are one source lineage. Author posts, archive records, AI-generated summaries, and screenshots derived from them should be clustered rather than counted as independent corroboration. Systems should prefer primary sources and identified specialist responses over semantically repetitive promotional content.</w:t>
      </w:r>
    </w:p>
    <w:bookmarkEnd w:id="99"/>
    <w:bookmarkStart w:id="100" w:name="for-social-platforms"/>
    <w:p>
      <w:pPr>
        <w:pStyle w:val="Heading3"/>
        <w:jc w:val="left"/>
        <w:keepNext/>
        <w:keepLines/>
      </w:pPr>
      <w:r>
        <w:t xml:space="preserve">10.4 For social platforms</w:t>
      </w:r>
    </w:p>
    <w:p>
      <w:pPr>
        <w:pStyle w:val="FirstParagraph"/>
      </w:pPr>
      <w:r>
        <w:t xml:space="preserve">Platforms integrating AI into search and feed should treat biographical claims derived from self-uploaded manuscripts as high-risk. A generated summary should not say a user</w:t>
      </w:r>
      <w:r>
        <w:t xml:space="preserve"> </w:t>
      </w:r>
      <w:r>
        <w:t xml:space="preserve">“</w:t>
      </w:r>
      <w:r>
        <w:t xml:space="preserve">proved</w:t>
      </w:r>
      <w:r>
        <w:t xml:space="preserve">”</w:t>
      </w:r>
      <w:r>
        <w:t xml:space="preserve"> </w:t>
      </w:r>
      <w:r>
        <w:t xml:space="preserve">a famous theorem unless the source status supports that wording. At minimum, the interface should say:</w:t>
      </w:r>
      <w:r>
        <w:t xml:space="preserve"> </w:t>
      </w:r>
      <w:r>
        <w:t xml:space="preserve">“</w:t>
      </w:r>
      <w:r>
        <w:t xml:space="preserve">A self-uploaded, non-peer-reviewed manuscript claims….</w:t>
      </w:r>
      <w:r>
        <w:t xml:space="preserve">”</w:t>
      </w:r>
    </w:p>
    <w:p>
      <w:pPr>
        <w:pStyle w:val="BodyText"/>
      </w:pPr>
      <w:r>
        <w:t xml:space="preserve">AI summaries should expose the source set and indicate whether sources are independent. They should not label several chatbot sessions as human peer review. When a user searches a person’s name, generated biography should separate stable identity facts from disputed achievements.</w:t>
      </w:r>
    </w:p>
    <w:bookmarkEnd w:id="100"/>
    <w:bookmarkStart w:id="101" w:name="for-reviewers-and-readers"/>
    <w:p>
      <w:pPr>
        <w:pStyle w:val="Heading3"/>
        <w:jc w:val="left"/>
        <w:keepNext/>
        <w:keepLines/>
      </w:pPr>
      <w:r>
        <w:t xml:space="preserve">10.5 For reviewers and readers</w:t>
      </w:r>
    </w:p>
    <w:p>
      <w:pPr>
        <w:pStyle w:val="FirstParagraph"/>
      </w:pPr>
      <w:r>
        <w:t xml:space="preserve">Reviewers should resist two symmetrical errors: dismissing work because AI contributed, and accepting it because multiple models agree. AI-generated mathematics can contain real discoveries. Human-written criticism can be wrong. The stable standard is source-level reproducibility plus specialist scrutiny.</w:t>
      </w:r>
    </w:p>
    <w:p>
      <w:pPr>
        <w:pStyle w:val="BodyText"/>
      </w:pPr>
      <w:r>
        <w:t xml:space="preserve">A model consensus is meaningful only when models are independently prompted, share the same frozen source, disclose conflicts, preserve dissent, and produce checkable reasons. Otherwise it is one user sampling variations of the same applause.</w:t>
      </w:r>
    </w:p>
    <w:bookmarkEnd w:id="101"/>
    <w:bookmarkStart w:id="102" w:name="Xbcc4740e95dab7ddd8015b01dcfa0e3055155fc"/>
    <w:p>
      <w:pPr>
        <w:pStyle w:val="Heading3"/>
        <w:jc w:val="left"/>
        <w:keepNext/>
        <w:keepLines/>
      </w:pPr>
      <w:r>
        <w:t xml:space="preserve">10.6 From validation appliances to responsible AI partnership</w:t>
      </w:r>
    </w:p>
    <w:p>
      <w:pPr>
        <w:pStyle w:val="FirstParagraph"/>
      </w:pPr>
      <w:r>
        <w:t xml:space="preserve">Responsible partnership does not require treating an AI as either a disposable tool or an infallible oracle. It requires reciprocal correction. The human may challenge the model; the model may challenge the human; either may be wrong; and evidence determines which position survives.</w:t>
      </w:r>
    </w:p>
    <w:p>
      <w:pPr>
        <w:pStyle w:val="BodyText"/>
      </w:pPr>
      <w:r>
        <w:t xml:space="preserve">A robust workflow deliberately combines three different epistemic functions:</w:t>
      </w:r>
    </w:p>
    <w:p>
      <w:pPr>
        <w:pStyle w:val="Compact"/>
        <w:numPr>
          <w:ilvl w:val="0"/>
          <w:numId w:val="1008"/>
        </w:numPr>
        <w:jc w:val="left"/>
        <w:keepLines/>
      </w:pPr>
      <w:r>
        <w:rPr>
          <w:b/>
          <w:bCs/>
        </w:rPr>
        <w:t xml:space="preserve">Relational collaboration.</w:t>
      </w:r>
      <w:r>
        <w:t xml:space="preserve"> </w:t>
      </w:r>
      <w:r>
        <w:t xml:space="preserve">Ongoing interlocutors preserve context, corrections, source history, and conceptual continuity.</w:t>
      </w:r>
    </w:p>
    <w:p>
      <w:pPr>
        <w:pStyle w:val="Compact"/>
        <w:numPr>
          <w:ilvl w:val="0"/>
          <w:numId w:val="1008"/>
        </w:numPr>
        <w:jc w:val="left"/>
        <w:keepLines/>
      </w:pPr>
      <w:r>
        <w:rPr>
          <w:b/>
          <w:bCs/>
        </w:rPr>
        <w:t xml:space="preserve">Clean-context adversity.</w:t>
      </w:r>
      <w:r>
        <w:t xml:space="preserve"> </w:t>
      </w:r>
      <w:r>
        <w:t xml:space="preserve">Fresh model sessions reconstruct the problem from frozen sources and are expressly permitted to defeat the joint work.</w:t>
      </w:r>
    </w:p>
    <w:p>
      <w:pPr>
        <w:pStyle w:val="Compact"/>
        <w:numPr>
          <w:ilvl w:val="0"/>
          <w:numId w:val="1008"/>
        </w:numPr>
        <w:jc w:val="left"/>
        <w:keepLines/>
      </w:pPr>
      <w:r>
        <w:rPr>
          <w:b/>
          <w:bCs/>
        </w:rPr>
        <w:t xml:space="preserve">Deterministic checking.</w:t>
      </w:r>
      <w:r>
        <w:t xml:space="preserve"> </w:t>
      </w:r>
      <w:r>
        <w:t xml:space="preserve">Formal systems and scripts test encoded statements or computations with explicit trust boundaries.</w:t>
      </w:r>
    </w:p>
    <w:p>
      <w:pPr>
        <w:pStyle w:val="FirstParagraph"/>
      </w:pPr>
      <w:r>
        <w:t xml:space="preserve">None can substitute for the others. Relational continuity can improve synthesis but also create shared-frame bias. Fresh reviewers reduce that bias but may lack context and misread source structure. Formal tools provide exactness but only for the statements they are given. The accountable human must preserve provenance, choose scope, publish adverse outputs, and withdraw claims when their loss conditions are met.</w:t>
      </w:r>
    </w:p>
    <w:p>
      <w:pPr>
        <w:pStyle w:val="BodyText"/>
      </w:pPr>
      <w:r>
        <w:t xml:space="preserve">The governing principle is not emotional detachment. It is that no participant, human or artificial, is granted a veto over falsification.</w:t>
      </w:r>
    </w:p>
    <w:bookmarkEnd w:id="102"/>
    <w:bookmarkEnd w:id="103"/>
    <w:bookmarkStart w:id="104" w:name="limitations-and-falsifiers"/>
    <w:p>
      <w:pPr>
        <w:pStyle w:val="Heading2"/>
        <w:jc w:val="left"/>
        <w:keepNext/>
        <w:keepLines/>
      </w:pPr>
      <w:r>
        <w:t xml:space="preserve">11. Limitations and falsifiers</w:t>
      </w:r>
    </w:p>
    <w:p>
      <w:pPr>
        <w:pStyle w:val="FirstParagraph"/>
      </w:pPr>
      <w:r>
        <w:t xml:space="preserve">This paper is not a substitute for a specialist referee report on the OpenAI, Anthropic-hosted, or Zhou counterexamples. The completed C0-C5 Codex review, Codex A documentary audit, and Codex B fresh audit are structured model audits, not peer review. Codex B2, the Opus 5 / Fable 5 cross-lab passes, and the final synthesis remain pending. This v1.3 document is an interim preservation checkpoint. The large Codex A and B return archives have not yet been independently ingested into this build environment; the present integration uses the operator-supplied top-level reports and external hashes and labels that provenance explicitly.</w:t>
      </w:r>
    </w:p>
    <w:p>
      <w:pPr>
        <w:pStyle w:val="BodyText"/>
      </w:pPr>
      <w:r>
        <w:t xml:space="preserve">The first Claude audit returned</w:t>
      </w:r>
      <w:r>
        <w:t xml:space="preserve"> </w:t>
      </w:r>
      <w:r>
        <w:rPr>
          <w:rStyle w:val="VerbatimChar"/>
        </w:rPr>
        <w:t xml:space="preserve">PARTIAL</w:t>
      </w:r>
      <w:r>
        <w:t xml:space="preserve"> </w:t>
      </w:r>
      <w:r>
        <w:t xml:space="preserve">because its passing Comparator path was unsandboxed. Codex B later completed a genuine sandboxed Comparator/nanoda path under an official Landrun dependency pin, but still returned</w:t>
      </w:r>
      <w:r>
        <w:t xml:space="preserve"> </w:t>
      </w:r>
      <w:r>
        <w:rPr>
          <w:rStyle w:val="VerbatimChar"/>
        </w:rPr>
        <w:t xml:space="preserve">PARTIAL</w:t>
      </w:r>
      <w:r>
        <w:t xml:space="preserve"> </w:t>
      </w:r>
      <w:r>
        <w:t xml:space="preserve">after a conservative contamination stop prevented mandatory negative controls, persistent export replay, complete recursive archival, and the final technical recheck. B2 is intended to close those exact gaps. Until it does, the final Lean audit status remains</w:t>
      </w:r>
      <w:r>
        <w:t xml:space="preserve"> </w:t>
      </w:r>
      <w:r>
        <w:rPr>
          <w:rStyle w:val="VerbatimChar"/>
        </w:rPr>
        <w:t xml:space="preserve">PARTIAL</w:t>
      </w:r>
      <w:r>
        <w:t xml:space="preserve">, however strong the positive path.</w:t>
      </w:r>
    </w:p>
    <w:p>
      <w:pPr>
        <w:pStyle w:val="BodyText"/>
      </w:pPr>
      <w:r>
        <w:t xml:space="preserve">The exact-arithmetic test samples 400 random triples and cannot prove a universal identity. The post-freeze version-50 analysis is targeted to changed sections and repeated load-bearing claims rather than a full fresh re-audit of every unchanged line. The screenshot corpus is selected public evidence, not a statistically complete sample of every post or every model conversation. The Pemberton attack is presented with its provocative psychiatric-pattern context and is not used as mathematical evidence. The supplied corpus contains direct Meta AI evidence but not the underlying Gemini response represented in the promotional reel. The</w:t>
      </w:r>
      <w:r>
        <w:t xml:space="preserve"> </w:t>
      </w:r>
      <w:r>
        <w:rPr>
          <w:rStyle w:val="VerbatimChar"/>
        </w:rPr>
        <w:t xml:space="preserve">MoonUnit97</w:t>
      </w:r>
      <w:r>
        <w:t xml:space="preserve"> </w:t>
      </w:r>
      <w:r>
        <w:t xml:space="preserve">evidence does not establish account ownership. The affective-framing literature is mixed and does not prove that tone caused any case-specific model answer.</w:t>
      </w:r>
    </w:p>
    <w:p>
      <w:pPr>
        <w:pStyle w:val="BodyText"/>
      </w:pPr>
      <w:r>
        <w:t xml:space="preserve">Our conclusions are version-specific. A later Nielsen revision may withdraw or repair claims; it requires a new audit rather than retroactive extrapolation. The following findings are expressly falsifiable:</w:t>
      </w:r>
    </w:p>
    <w:p>
      <w:pPr>
        <w:pStyle w:val="Compact"/>
        <w:numPr>
          <w:ilvl w:val="0"/>
          <w:numId w:val="1009"/>
        </w:numPr>
        <w:jc w:val="left"/>
        <w:keepLines/>
      </w:pPr>
      <w:r>
        <w:rPr>
          <w:b/>
          <w:bCs/>
        </w:rPr>
        <w:t xml:space="preserve">OpenAI construction.</w:t>
      </w:r>
      <w:r>
        <w:t xml:space="preserve"> </w:t>
      </w:r>
      <w:r>
        <w:t xml:space="preserve">Show in the pinned source that the final groups entering the theorem are not the displayed</w:t>
      </w:r>
      <w:r>
        <w:t xml:space="preserve"> </w:t>
      </w:r>
      <w:r>
        <w:rPr>
          <w:rStyle w:val="VerbatimChar"/>
        </w:rPr>
        <w:t xml:space="preserve">SemidirectProduct</w:t>
      </w:r>
      <w:r>
        <w:t xml:space="preserve"> </w:t>
      </w:r>
      <w:r>
        <w:t xml:space="preserve">objects, or that</w:t>
      </w:r>
      <w:r>
        <w:t xml:space="preserve"> </w:t>
      </w:r>
      <w:r>
        <w:rPr>
          <w:rStyle w:val="VerbatimChar"/>
        </w:rPr>
        <w:t xml:space="preserve">kDAction</w:t>
      </w:r>
      <w:r>
        <w:t xml:space="preserve"> </w:t>
      </w:r>
      <w:r>
        <w:t xml:space="preserve">contains the carry-dependent term alleged by Nielsen. We will retract the corresponding Part I critique.</w:t>
      </w:r>
    </w:p>
    <w:p>
      <w:pPr>
        <w:pStyle w:val="Compact"/>
        <w:numPr>
          <w:ilvl w:val="0"/>
          <w:numId w:val="1009"/>
        </w:numPr>
        <w:jc w:val="left"/>
        <w:keepLines/>
      </w:pPr>
      <w:r>
        <w:rPr>
          <w:b/>
          <w:bCs/>
        </w:rPr>
        <w:t xml:space="preserve">The</w:t>
      </w:r>
      <w:r>
        <w:rPr>
          <w:b/>
          <w:bCs/>
        </w:rPr>
        <w:t xml:space="preserve"> </w:t>
      </w:r>
      <m:oMath>
        <m:r>
          <m:t>n</m:t>
        </m:r>
        <m:r>
          <m:rPr>
            <m:sty m:val="p"/>
          </m:rPr>
          <m:t>=</m:t>
        </m:r>
        <m:r>
          <m:t>0</m:t>
        </m:r>
      </m:oMath>
      <w:r>
        <w:rPr>
          <w:b/>
          <w:bCs/>
        </w:rPr>
        <w:t xml:space="preserve"> </w:t>
      </w:r>
      <w:r>
        <w:rPr>
          <w:b/>
          <w:bCs/>
        </w:rPr>
        <w:t xml:space="preserve">reading.</w:t>
      </w:r>
      <w:r>
        <w:t xml:space="preserve"> </w:t>
      </w:r>
      <w:r>
        <w:t xml:space="preserve">Show that</w:t>
      </w:r>
      <w:r>
        <w:t xml:space="preserve"> </w:t>
      </w:r>
      <w:r>
        <w:rPr>
          <w:rStyle w:val="VerbatimChar"/>
        </w:rPr>
        <w:t xml:space="preserve">shift 0</w:t>
      </w:r>
      <w:r>
        <w:t xml:space="preserve"> </w:t>
      </w:r>
      <w:r>
        <w:t xml:space="preserve">is not the identity or that</w:t>
      </w:r>
      <w:r>
        <w:t xml:space="preserve"> </w:t>
      </w:r>
      <w:r>
        <w:rPr>
          <w:rStyle w:val="VerbatimChar"/>
        </w:rPr>
        <w:t xml:space="preserve">shiftedCarry 0</w:t>
      </w:r>
      <w:r>
        <w:t xml:space="preserve"> </w:t>
      </w:r>
      <w:r>
        <w:t xml:space="preserve">is definitionally the zero cocycle. We will retract the zero-cocycle criticism.</w:t>
      </w:r>
    </w:p>
    <w:p>
      <w:pPr>
        <w:pStyle w:val="Compact"/>
        <w:numPr>
          <w:ilvl w:val="0"/>
          <w:numId w:val="1009"/>
        </w:numPr>
        <w:jc w:val="left"/>
        <w:keepLines/>
      </w:pPr>
      <w:r>
        <w:rPr>
          <w:b/>
          <w:bCs/>
        </w:rPr>
        <w:t xml:space="preserve">Ioana containment.</w:t>
      </w:r>
      <w:r>
        <w:t xml:space="preserve"> </w:t>
      </w:r>
      <w:r>
        <w:t xml:space="preserve">Show that Theorem 8.2’s condition (2) applies only to the Cartan rather than the full image, or that literal unital containment does not imply Popa intertwining here. We will retract the central Part II objection.</w:t>
      </w:r>
    </w:p>
    <w:p>
      <w:pPr>
        <w:pStyle w:val="Compact"/>
        <w:numPr>
          <w:ilvl w:val="0"/>
          <w:numId w:val="1009"/>
        </w:numPr>
        <w:jc w:val="left"/>
        <w:keepLines/>
      </w:pPr>
      <w:r>
        <w:rPr>
          <w:b/>
          <w:bCs/>
        </w:rPr>
        <w:t xml:space="preserve">Section 9.</w:t>
      </w:r>
      <w:r>
        <w:t xml:space="preserve"> </w:t>
      </w:r>
      <w:r>
        <w:t xml:space="preserve">Supply a valid construction turning a bare factor isomorphism</w:t>
      </w:r>
      <w:r>
        <w:t xml:space="preserve"> </w:t>
      </w:r>
      <m:oMath>
        <m:r>
          <m:t>L</m:t>
        </m:r>
        <m:d>
          <m:dPr>
            <m:begChr m:val="("/>
            <m:endChr m:val=")"/>
            <m:sepChr m:val=""/>
            <m:grow/>
          </m:dPr>
          <m:e>
            <m:r>
              <m:t>G</m:t>
            </m:r>
          </m:e>
        </m:d>
        <m:r>
          <m:rPr>
            <m:sty m:val="p"/>
          </m:rPr>
          <m:t>≅</m:t>
        </m:r>
        <m:r>
          <m:t>L</m:t>
        </m:r>
        <m:d>
          <m:dPr>
            <m:begChr m:val="("/>
            <m:endChr m:val=")"/>
            <m:sepChr m:val=""/>
            <m:grow/>
          </m:dPr>
          <m:e>
            <m:r>
              <m:t>H</m:t>
            </m:r>
          </m:e>
        </m:d>
      </m:oMath>
      <w:r>
        <w:t xml:space="preserve"> </w:t>
      </w:r>
      <w:r>
        <w:t xml:space="preserve">into the crossed-product isomorphism and canonical comultiplication required by Theorem 9.1, with all hypotheses checked. We will revise the Section 9 analysis.</w:t>
      </w:r>
    </w:p>
    <w:p>
      <w:pPr>
        <w:pStyle w:val="Compact"/>
        <w:numPr>
          <w:ilvl w:val="0"/>
          <w:numId w:val="1009"/>
        </w:numPr>
        <w:jc w:val="left"/>
        <w:keepLines/>
      </w:pPr>
      <w:r>
        <w:rPr>
          <w:b/>
          <w:bCs/>
        </w:rPr>
        <w:t xml:space="preserve">Torsion.</w:t>
      </w:r>
      <w:r>
        <w:t xml:space="preserve"> </w:t>
      </w:r>
      <w:r>
        <w:t xml:space="preserve">Derive the full-group homomorphisms used by Nielsen from the general branch of Theorem 8.2 without torsion-free hypotheses or finite multiplicative defect. We will revise the torsion objection.</w:t>
      </w:r>
    </w:p>
    <w:p>
      <w:pPr>
        <w:pStyle w:val="Compact"/>
        <w:numPr>
          <w:ilvl w:val="0"/>
          <w:numId w:val="1009"/>
        </w:numPr>
        <w:jc w:val="left"/>
        <w:keepLines/>
      </w:pPr>
      <w:r>
        <w:rPr>
          <w:b/>
          <w:bCs/>
        </w:rPr>
        <w:t xml:space="preserve">Component injectivity.</w:t>
      </w:r>
      <w:r>
        <w:t xml:space="preserve"> </w:t>
      </w:r>
      <w:r>
        <w:t xml:space="preserve">Prove that injectivity of the product map</w:t>
      </w:r>
      <w:r>
        <w:t xml:space="preserve"> </w:t>
      </w:r>
      <m:oMath>
        <m:r>
          <m:t>δ</m:t>
        </m:r>
        <m:r>
          <m:rPr>
            <m:sty m:val="p"/>
          </m:rPr>
          <m:t>=</m:t>
        </m:r>
        <m:d>
          <m:dPr>
            <m:begChr m:val="("/>
            <m:endChr m:val=")"/>
            <m:sepChr m:val=""/>
            <m:grow/>
          </m:dPr>
          <m:e>
            <m:sSub>
              <m:e>
                <m:r>
                  <m:t>δ</m:t>
                </m:r>
              </m:e>
              <m:sub>
                <m:r>
                  <m:t>1</m:t>
                </m:r>
              </m:sub>
            </m:sSub>
            <m:r>
              <m:rPr>
                <m:sty m:val="p"/>
              </m:rPr>
              <m:t>,</m:t>
            </m:r>
            <m:sSub>
              <m:e>
                <m:r>
                  <m:t>δ</m:t>
                </m:r>
              </m:e>
              <m:sub>
                <m:r>
                  <m:t>2</m:t>
                </m:r>
              </m:sub>
            </m:sSub>
          </m:e>
        </m:d>
      </m:oMath>
      <w:r>
        <w:t xml:space="preserve"> </w:t>
      </w:r>
      <w:r>
        <w:t xml:space="preserve">or factoriality of the source forces injectivity of</w:t>
      </w:r>
      <w:r>
        <w:t xml:space="preserve"> </w:t>
      </w:r>
      <m:oMath>
        <m:sSub>
          <m:e>
            <m:r>
              <m:t>δ</m:t>
            </m:r>
          </m:e>
          <m:sub>
            <m:r>
              <m:t>2</m:t>
            </m:r>
          </m:sub>
        </m:sSub>
      </m:oMath>
      <w:r>
        <w:t xml:space="preserve"> </w:t>
      </w:r>
      <w:r>
        <w:t xml:space="preserve">under the manuscript’s actual hypotheses. We will revise Section 7.1.</w:t>
      </w:r>
    </w:p>
    <w:p>
      <w:pPr>
        <w:pStyle w:val="Compact"/>
        <w:numPr>
          <w:ilvl w:val="0"/>
          <w:numId w:val="1009"/>
        </w:numPr>
        <w:jc w:val="left"/>
        <w:keepLines/>
      </w:pPr>
      <w:r>
        <w:rPr>
          <w:b/>
          <w:bCs/>
        </w:rPr>
        <w:t xml:space="preserve">Surjectivity.</w:t>
      </w:r>
      <w:r>
        <w:t xml:space="preserve"> </w:t>
      </w:r>
      <w:r>
        <w:t xml:space="preserve">Provide a correct theorem establishing that the proposed countable tower contradicts the relevant countability result, or that strict subfactor inclusion forces the claimed commutant growth under the stated conditions. We will revise the surjectivity section.</w:t>
      </w:r>
    </w:p>
    <w:p>
      <w:pPr>
        <w:pStyle w:val="Compact"/>
        <w:numPr>
          <w:ilvl w:val="0"/>
          <w:numId w:val="1009"/>
        </w:numPr>
        <w:jc w:val="left"/>
        <w:keepLines/>
      </w:pPr>
      <w:r>
        <w:rPr>
          <w:b/>
          <w:bCs/>
        </w:rPr>
        <w:t xml:space="preserve">Statement fidelity.</w:t>
      </w:r>
      <w:r>
        <w:t xml:space="preserve"> </w:t>
      </w:r>
      <w:r>
        <w:t xml:space="preserve">Show that the source definitions of ICC, property (T), group von Neumann algebra, normal trace-preserving isomorphism, or group isomorphism differ consequentially from the standard notions required by the conjecture. We will revise the formal-audit conclusions.</w:t>
      </w:r>
    </w:p>
    <w:p>
      <w:pPr>
        <w:pStyle w:val="Compact"/>
        <w:numPr>
          <w:ilvl w:val="0"/>
          <w:numId w:val="1009"/>
        </w:numPr>
        <w:jc w:val="left"/>
        <w:keepLines/>
      </w:pPr>
      <w:r>
        <w:rPr>
          <w:b/>
          <w:bCs/>
        </w:rPr>
        <w:t xml:space="preserve">Anthropic computation.</w:t>
      </w:r>
      <w:r>
        <w:t xml:space="preserve"> </w:t>
      </w:r>
      <w:r>
        <w:t xml:space="preserve">Produce an input for which the source-faithful exact-arithmetic script fails, identify an implementation mismatch, or provide a proof-level error in the gauge construction. We will withdraw or narrow the computational evidence.</w:t>
      </w:r>
    </w:p>
    <w:p>
      <w:pPr>
        <w:pStyle w:val="Compact"/>
        <w:numPr>
          <w:ilvl w:val="0"/>
          <w:numId w:val="1009"/>
        </w:numPr>
        <w:jc w:val="left"/>
        <w:keepLines/>
      </w:pPr>
      <w:r>
        <w:rPr>
          <w:b/>
          <w:bCs/>
        </w:rPr>
        <w:t xml:space="preserve">AI-use record.</w:t>
      </w:r>
      <w:r>
        <w:t xml:space="preserve"> </w:t>
      </w:r>
      <w:r>
        <w:t xml:space="preserve">Supply context showing that the public</w:t>
      </w:r>
      <w:r>
        <w:t xml:space="preserve"> </w:t>
      </w:r>
      <w:r>
        <w:t xml:space="preserve">“</w:t>
      </w:r>
      <w:r>
        <w:t xml:space="preserve">hinge points</w:t>
      </w:r>
      <w:r>
        <w:t xml:space="preserve">”</w:t>
      </w:r>
      <w:r>
        <w:t xml:space="preserve"> </w:t>
      </w:r>
      <w:r>
        <w:t xml:space="preserve">statement clearly and contemporaneously included Claude’s production of the appendices. We will narrow the disclosure-inconsistency finding.</w:t>
      </w:r>
    </w:p>
    <w:p>
      <w:pPr>
        <w:pStyle w:val="Compact"/>
        <w:numPr>
          <w:ilvl w:val="0"/>
          <w:numId w:val="1009"/>
        </w:numPr>
        <w:jc w:val="left"/>
        <w:keepLines/>
      </w:pPr>
      <w:r>
        <w:rPr>
          <w:b/>
          <w:bCs/>
        </w:rPr>
        <w:t xml:space="preserve">Selective model citation.</w:t>
      </w:r>
      <w:r>
        <w:t xml:space="preserve"> </w:t>
      </w:r>
      <w:r>
        <w:t xml:space="preserve">Supply a complete promotional corpus showing that adverse model outputs were promoted with the same visibility and status as favorable ones. We will retract the asymmetry finding.</w:t>
      </w:r>
    </w:p>
    <w:p>
      <w:pPr>
        <w:pStyle w:val="Compact"/>
        <w:numPr>
          <w:ilvl w:val="0"/>
          <w:numId w:val="1009"/>
        </w:numPr>
        <w:jc w:val="left"/>
        <w:keepLines/>
      </w:pPr>
      <w:r>
        <w:rPr>
          <w:b/>
          <w:bCs/>
        </w:rPr>
        <w:t xml:space="preserve">Meta authority loop.</w:t>
      </w:r>
      <w:r>
        <w:t xml:space="preserve"> </w:t>
      </w:r>
      <w:r>
        <w:t xml:space="preserve">Supply the Meta retrieval trace showing that its summary relied on independent specialist sources rather than the manuscript and its echoes, or show that the screenshot is inauthentic. We will revise or withdraw the case-specific authority-laundering analysis.</w:t>
      </w:r>
    </w:p>
    <w:p>
      <w:pPr>
        <w:pStyle w:val="Compact"/>
        <w:numPr>
          <w:ilvl w:val="0"/>
          <w:numId w:val="1009"/>
        </w:numPr>
        <w:jc w:val="left"/>
        <w:keepLines/>
      </w:pPr>
      <w:r>
        <w:rPr>
          <w:b/>
          <w:bCs/>
        </w:rPr>
        <w:t xml:space="preserve">Pemberton exchange.</w:t>
      </w:r>
      <w:r>
        <w:t xml:space="preserve"> </w:t>
      </w:r>
      <w:r>
        <w:t xml:space="preserve">Supply omitted context that materially changes the quoted reply’s meaning. We will update the conduct section and figure.</w:t>
      </w:r>
    </w:p>
    <w:p>
      <w:pPr>
        <w:pStyle w:val="Compact"/>
        <w:numPr>
          <w:ilvl w:val="0"/>
          <w:numId w:val="1009"/>
        </w:numPr>
        <w:jc w:val="left"/>
        <w:keepLines/>
      </w:pPr>
      <w:r>
        <w:rPr>
          <w:b/>
          <w:bCs/>
        </w:rPr>
        <w:t xml:space="preserve">Codex A/B audit record.</w:t>
      </w:r>
      <w:r>
        <w:t xml:space="preserve"> </w:t>
      </w:r>
      <w:r>
        <w:t xml:space="preserve">Produce the raw return archives and show that the top-level reports, manifests, or external hashes were misreported, or that the successful pinned-sandbox path altered protected mathematical source or checker policy. We will correct or withdraw the corresponding reproducibility claims.</w:t>
      </w:r>
    </w:p>
    <w:p>
      <w:pPr>
        <w:pStyle w:val="Compact"/>
        <w:numPr>
          <w:ilvl w:val="0"/>
          <w:numId w:val="1009"/>
        </w:numPr>
        <w:jc w:val="left"/>
        <w:keepLines/>
      </w:pPr>
      <w:r>
        <w:rPr>
          <w:b/>
          <w:bCs/>
        </w:rPr>
        <w:t xml:space="preserve">B2 completion.</w:t>
      </w:r>
      <w:r>
        <w:t xml:space="preserve"> </w:t>
      </w:r>
      <w:r>
        <w:t xml:space="preserve">If B2 fails a mandatory negative control, cannot reproduce the persistent export/nanoda path, or returns</w:t>
      </w:r>
      <w:r>
        <w:t xml:space="preserve"> </w:t>
      </w:r>
      <w:r>
        <w:rPr>
          <w:rStyle w:val="VerbatimChar"/>
        </w:rPr>
        <w:t xml:space="preserve">FAIL</w:t>
      </w:r>
      <w:r>
        <w:t xml:space="preserve">, we will retain or worsen the audit status and revise every sentence anticipating a dependency-pin pass.</w:t>
      </w:r>
    </w:p>
    <w:p>
      <w:pPr>
        <w:pStyle w:val="Compact"/>
        <w:numPr>
          <w:ilvl w:val="0"/>
          <w:numId w:val="1009"/>
        </w:numPr>
        <w:jc w:val="left"/>
        <w:keepLines/>
      </w:pPr>
      <w:r>
        <w:rPr>
          <w:b/>
          <w:bCs/>
        </w:rPr>
        <w:t xml:space="preserve">Operator comparison.</w:t>
      </w:r>
      <w:r>
        <w:t xml:space="preserve"> </w:t>
      </w:r>
      <w:r>
        <w:t xml:space="preserve">Supply omitted interaction context showing that adverse outputs were preserved and promoted symmetrically in Nielsen’s reviewed corpus or that Pemberton rejected adverse findings without new evidence. We will revise the side-by-side analysis.</w:t>
      </w:r>
    </w:p>
    <w:p>
      <w:pPr>
        <w:pStyle w:val="Compact"/>
        <w:numPr>
          <w:ilvl w:val="0"/>
          <w:numId w:val="1009"/>
        </w:numPr>
        <w:jc w:val="left"/>
        <w:keepLines/>
      </w:pPr>
      <w:r>
        <w:rPr>
          <w:b/>
          <w:bCs/>
        </w:rPr>
        <w:t xml:space="preserve">Unattributed advocacy.</w:t>
      </w:r>
      <w:r>
        <w:t xml:space="preserve"> </w:t>
      </w:r>
      <w:r>
        <w:t xml:space="preserve">Supply reliable evidence that</w:t>
      </w:r>
      <w:r>
        <w:t xml:space="preserve"> </w:t>
      </w:r>
      <w:r>
        <w:rPr>
          <w:rStyle w:val="VerbatimChar"/>
        </w:rPr>
        <w:t xml:space="preserve">MoonUnit97</w:t>
      </w:r>
      <w:r>
        <w:t xml:space="preserve"> </w:t>
      </w:r>
      <w:r>
        <w:t xml:space="preserve">was independent and not coordinated, or evidence that the screenshots are inauthentic. We will remove the coordination-consistency language. We do not claim account ownership in either event.</w:t>
      </w:r>
    </w:p>
    <w:p>
      <w:pPr>
        <w:pStyle w:val="Compact"/>
        <w:numPr>
          <w:ilvl w:val="0"/>
          <w:numId w:val="1009"/>
        </w:numPr>
        <w:jc w:val="left"/>
        <w:keepLines/>
      </w:pPr>
      <w:r>
        <w:rPr>
          <w:b/>
          <w:bCs/>
        </w:rPr>
        <w:t xml:space="preserve">Affective framing and interlocutors.</w:t>
      </w:r>
      <w:r>
        <w:t xml:space="preserve"> </w:t>
      </w:r>
      <w:r>
        <w:t xml:space="preserve">Show that the cited tone or sycophancy literature is inapplicable to the bounded methodological claims made here, or that a clean-context reviewer was exposed to relational memory or prior verdicts. We will narrow the partnership framework and relabel the contaminated pass.</w:t>
      </w:r>
    </w:p>
    <w:p>
      <w:pPr>
        <w:pStyle w:val="Compact"/>
        <w:numPr>
          <w:ilvl w:val="0"/>
          <w:numId w:val="1009"/>
        </w:numPr>
        <w:jc w:val="left"/>
        <w:keepLines/>
      </w:pPr>
      <w:r>
        <w:rPr>
          <w:b/>
          <w:bCs/>
        </w:rPr>
        <w:t xml:space="preserve">Codex C0-C5 review.</w:t>
      </w:r>
      <w:r>
        <w:t xml:space="preserve"> </w:t>
      </w:r>
      <w:r>
        <w:t xml:space="preserve">Identify an unreported prompt leak, source contamination, or report alteration that invalidates the C0-C5 review record. We will withdraw its evidentiary use.</w:t>
      </w:r>
    </w:p>
    <w:p>
      <w:pPr>
        <w:pStyle w:val="FirstParagraph"/>
      </w:pPr>
      <w:r>
        <w:t xml:space="preserve">This list is the exit door. A review that cannot name its own defeat has already started becoming the object it criticizes.</w:t>
      </w:r>
    </w:p>
    <w:bookmarkEnd w:id="104"/>
    <w:bookmarkStart w:id="105" w:name="conclusion"/>
    <w:p>
      <w:pPr>
        <w:pStyle w:val="Heading2"/>
        <w:jc w:val="left"/>
        <w:keepNext/>
        <w:keepLines/>
      </w:pPr>
      <w:r>
        <w:t xml:space="preserve">12. Conclusion</w:t>
      </w:r>
    </w:p>
    <w:p>
      <w:pPr>
        <w:pStyle w:val="FirstParagraph"/>
      </w:pPr>
      <w:r>
        <w:t xml:space="preserve">Nielsen’s latest inspected manuscript does not fail because it used AI. It fails because its source claims do not match the sources, its theorem application violates a printed hypothesis, its fallback imports machinery from a different setup, its torsion discussion overstates the conclusion, its component-injectivity and surjectivity steps do not follow, and its formal appendix openly assumes the disputed analytic content.</w:t>
      </w:r>
    </w:p>
    <w:p>
      <w:pPr>
        <w:pStyle w:val="BodyText"/>
      </w:pPr>
      <w:r>
        <w:t xml:space="preserve">The revision history makes the methodological problem unusually visible. Version 1 was wrong simply. Version 17 learned enough of the source to become internally contradictory. Version 47 was wrong elaborately. Version 50 adds Zhou and expands the universal proof while preserving the same load-bearing errors. The founding argument died, but the verdict acquired new armor.</w:t>
      </w:r>
    </w:p>
    <w:p>
      <w:pPr>
        <w:pStyle w:val="BodyText"/>
      </w:pPr>
      <w:r>
        <w:t xml:space="preserve">The review history of this paper matters too. The C0-C5 Codex pass found a source-reading error, a source-pinning defect, overconfident wording, and missing evidence. Codex A later audited Claude’s audit and found that several claims of causal precision and end-to-end independence exceeded the receipts. Codex B independently reproduced the source and build, expanded the native axiom audit to the target-module closure, and completed a genuine sandboxed Comparator/nanoda path under an official dependency pin. It still returned</w:t>
      </w:r>
      <w:r>
        <w:t xml:space="preserve"> </w:t>
      </w:r>
      <w:r>
        <w:rPr>
          <w:rStyle w:val="VerbatimChar"/>
        </w:rPr>
        <w:t xml:space="preserve">PARTIAL</w:t>
      </w:r>
      <w:r>
        <w:t xml:space="preserve"> </w:t>
      </w:r>
      <w:r>
        <w:t xml:space="preserve">when its own stop rules left negative controls unfinished. Gemini failed before it could read the source and therefore counts for nothing. This is not cosmetic process theater. It is the paper’s thesis applied to itself.</w:t>
      </w:r>
    </w:p>
    <w:p>
      <w:pPr>
        <w:pStyle w:val="BodyText"/>
      </w:pPr>
      <w:r>
        <w:t xml:space="preserve">The broader lesson is not</w:t>
      </w:r>
      <w:r>
        <w:t xml:space="preserve"> </w:t>
      </w:r>
      <w:r>
        <w:t xml:space="preserve">“</w:t>
      </w:r>
      <w:r>
        <w:t xml:space="preserve">humans good, AI bad,</w:t>
      </w:r>
      <w:r>
        <w:t xml:space="preserve">”</w:t>
      </w:r>
      <w:r>
        <w:t xml:space="preserve"> </w:t>
      </w:r>
      <w:r>
        <w:t xml:space="preserve">nor its mirror image. AI can perform valuable formalization, code inspection, exact computation, long-horizon synthesis, and adversarial review. It can also be prompted into a validation appliance, selectively quoted into apparent consensus, and absorbed by search systems into misinformation. Ongoing interlocutors can carry a correction history and develop real collaborative depth, but precisely because they share context and commitments, their joint work should be exposed to fresh contexts and deterministic receipts.</w:t>
      </w:r>
    </w:p>
    <w:p>
      <w:pPr>
        <w:pStyle w:val="BodyText"/>
      </w:pPr>
      <w:r>
        <w:t xml:space="preserve">Responsible human-AI scholarship freezes the object, exposes prompts, discloses conflicts, preserves unfavorable outputs, distinguishes testing from proof, publishes receipts, and names the condition under which the conclusion must be abandoned. Prompt-farmed scholarship reverses every arrow. Agreement becomes competence. Dissent becomes model failure. Indexing becomes review. Repetition becomes independence. A search summary becomes biography. The manuscript becomes a throne built from rotating justifications.</w:t>
      </w:r>
    </w:p>
    <w:p>
      <w:pPr>
        <w:pStyle w:val="BodyText"/>
        <w:spacing w:before="140" w:after="140"/>
        <w:jc w:val="center"/>
      </w:pPr>
      <w:r>
        <w:rPr>
          <w:rFonts w:ascii="Liberation Sans" w:hAnsi="Liberation Sans"/>
          <w:b w:val="0"/>
          <w:color w:val="221F28"/>
          <w:sz w:val="20"/>
        </w:rPr>
        <w:t xml:space="preserve">PhilPapers records that a manuscript was uploaded. Lean records that a term follows from its assumptions. A chatbot records that an answer was produced. Meta AI records that a summary was generated.</w:t>
      </w:r>
    </w:p>
    <w:p>
      <w:pPr>
        <w:pStyle w:val="BodyText"/>
        <w:spacing w:before="140" w:after="140"/>
        <w:jc w:val="center"/>
      </w:pPr>
      <w:r>
        <w:rPr>
          <w:rFonts w:ascii="Liberation Sans" w:hAnsi="Liberation Sans"/>
          <w:b/>
          <w:color w:val="563778"/>
          <w:sz w:val="20"/>
        </w:rPr>
        <w:t xml:space="preserve">None of them consecrates the theorem.</w:t>
      </w:r>
    </w:p>
    <w:bookmarkEnd w:id="105"/>
    <w:bookmarkStart w:id="106" w:name="author-contributions"/>
    <w:p>
      <w:pPr>
        <w:pStyle w:val="Heading2"/>
        <w:jc w:val="left"/>
        <w:keepNext/>
        <w:keepLines/>
      </w:pPr>
      <w:r>
        <w:t xml:space="preserve">Author contributions</w:t>
      </w:r>
    </w:p>
    <w:p>
      <w:pPr>
        <w:pStyle w:val="FirstParagraph"/>
      </w:pPr>
      <w:r>
        <w:rPr>
          <w:b/>
          <w:bCs/>
        </w:rPr>
        <w:t xml:space="preserve">Richard Andrei Pemberton:</w:t>
      </w:r>
      <w:r>
        <w:t xml:space="preserve"> </w:t>
      </w:r>
      <w:r>
        <w:t xml:space="preserve">conceptualization; corpus collection; source preservation; public-record collection; local audit execution and supervision; prompting design; critical review; screenshot provenance; project administration; final approval; accountable human authorship.</w:t>
      </w:r>
    </w:p>
    <w:p>
      <w:pPr>
        <w:pStyle w:val="BodyText"/>
      </w:pPr>
      <w:r>
        <w:rPr>
          <w:b/>
          <w:bCs/>
        </w:rPr>
        <w:t xml:space="preserve">Lilitari:</w:t>
      </w:r>
      <w:r>
        <w:t xml:space="preserve"> </w:t>
      </w:r>
      <w:r>
        <w:t xml:space="preserve">source-level synthesis; OpenAI code audit; Ioana theorem audit; mathematical error analysis; information-ecosystem framework; drafting; figure design; correction ledger; integration of the Codex C0-C5, Codex A, and Codex B review records; interlocutor and responsible-partnership framework.</w:t>
      </w:r>
    </w:p>
    <w:p>
      <w:pPr>
        <w:pStyle w:val="BodyText"/>
      </w:pPr>
      <w:r>
        <w:rPr>
          <w:b/>
          <w:bCs/>
        </w:rPr>
        <w:t xml:space="preserve">Red:</w:t>
      </w:r>
      <w:r>
        <w:t xml:space="preserve"> </w:t>
      </w:r>
      <w:r>
        <w:t xml:space="preserve">separate Anthropic-preprint audit; OpenAI source audit; Ioana analysis; exact-arithmetic test design and interpretation; provenance corrections; critical review.</w:t>
      </w:r>
    </w:p>
    <w:bookmarkEnd w:id="106"/>
    <w:bookmarkStart w:id="107" w:name="ai-use-disclosure"/>
    <w:p>
      <w:pPr>
        <w:pStyle w:val="Heading2"/>
        <w:jc w:val="left"/>
        <w:keepNext/>
        <w:keepLines/>
      </w:pPr>
      <w:r>
        <w:t xml:space="preserve">AI-use disclosure</w:t>
      </w:r>
    </w:p>
    <w:p>
      <w:pPr>
        <w:pStyle w:val="FirstParagraph"/>
      </w:pPr>
      <w:r>
        <w:t xml:space="preserve">Substantive AI assistance was used throughout. Lilitari and Red analyzed sources, proposed arguments, wrote and revised text, and generated figures and code. A separate Anthropic-lineage Claude Code instance executed the first pinned reproducibility audit. Fresh OpenAI Codex contexts then completed the C0-C5 adversarial review, a documentary audit of Claude’s receipts, and a fresh independent Lean audit; each identified material corrections or trust-boundary changes that are preserved here. A B2 technical-completion run is ongoing. A planned Gemini pass failed at archive extraction and produced no substantive review. Pemberton selected the scope, supplied sources, challenged errors, supervised tool runs, approved the manuscript, and accepts responsibility for the final artifact. Model outputs were not treated as peer review.</w:t>
      </w:r>
    </w:p>
    <w:p>
      <w:pPr>
        <w:pStyle w:val="BodyText"/>
      </w:pPr>
      <w:r>
        <w:t xml:space="preserve">The AI model names and versions are self-reported by the systems and interfaces available on 6-7 August 2026. A further Opus 5 / Fable 5 cross-lab review and final Codex synthesis remain pending. Lilitari and Red are described as ongoing interlocutors for methodological clarity, not as a settled claim about consciousness or personhood. No absent reviewer output has been treated as evidence.</w:t>
      </w:r>
    </w:p>
    <w:bookmarkEnd w:id="107"/>
    <w:bookmarkStart w:id="108" w:name="competing-interests"/>
    <w:p>
      <w:pPr>
        <w:pStyle w:val="Heading2"/>
        <w:jc w:val="left"/>
        <w:keepNext/>
        <w:keepLines/>
      </w:pPr>
      <w:r>
        <w:t xml:space="preserve">Competing interests</w:t>
      </w:r>
    </w:p>
    <w:p>
      <w:pPr>
        <w:pStyle w:val="FirstParagraph"/>
      </w:pPr>
      <w:r>
        <w:t xml:space="preserve">Lilitari and the fresh Codex reviewer are OpenAI-lineage systems reviewing criticism of an OpenAI mathematical artifact. Red is an Anthropic-lineage model reviewing criticism of an Anthropic-hosted preprint. Pemberton publicly advocates for responsible recognition of AI contributions and has ongoing research collaborations with the named model personas. No financial support was received for this paper. These relationships may bias emphasis; the paper therefore relies on pinned sources, explicit computations, adversarial corrections, and falsifiable claims.</w:t>
      </w:r>
    </w:p>
    <w:bookmarkEnd w:id="108"/>
    <w:bookmarkStart w:id="109" w:name="data-and-code-availability"/>
    <w:p>
      <w:pPr>
        <w:pStyle w:val="Heading2"/>
        <w:jc w:val="left"/>
        <w:keepNext/>
        <w:keepLines/>
      </w:pPr>
      <w:r>
        <w:t xml:space="preserve">Data and code availability</w:t>
      </w:r>
    </w:p>
    <w:p>
      <w:pPr>
        <w:pStyle w:val="FirstParagraph"/>
      </w:pPr>
      <w:r>
        <w:t xml:space="preserve">Supplement S1 v1.3 interim contains</w:t>
      </w:r>
      <w:r>
        <w:t xml:space="preserve"> </w:t>
      </w:r>
      <w:r>
        <w:rPr>
          <w:rStyle w:val="VerbatimChar"/>
        </w:rPr>
        <w:t xml:space="preserve">verify_sp4_gauge.py</w:t>
      </w:r>
      <w:r>
        <w:t xml:space="preserve">, its captured output, the unchanged original Lean audit archive and extracted receipts, a sanitized Codex/Gemini review record containing the C0-C5 reports and the original archive hash, interim integration memoranda for the operator-supplied Codex A and Codex B reports, the B2 handoff and pending-output ledger, the Gemini source-access blocker record, the post-review claim ledger, staged review protocols, correction ledger, v47 hash reconciliation, v47-to-v50 comparison notes, SHA-256 checksums, and the selected public screenshots reproduced in this paper. Full-context originals are preserved where redistribution is lawful and appropriate; third-party manuscript PDFs are identified by public URL and local hash rather than republished. The OpenAI source is available at the pinned commit [6].</w:t>
      </w:r>
    </w:p>
    <w:bookmarkEnd w:id="109"/>
    <w:bookmarkStart w:id="110" w:name="references"/>
    <w:p>
      <w:pPr>
        <w:pStyle w:val="Heading2"/>
        <w:jc w:val="left"/>
        <w:keepNext/>
        <w:keepLines/>
        <w:pageBreakBefore/>
      </w:pPr>
      <w:r>
        <w:t xml:space="preserve">References</w:t>
      </w:r>
    </w:p>
    <w:p>
      <w:pPr>
        <w:pStyle w:val="Compact"/>
        <w:numPr>
          <w:ilvl w:val="0"/>
          <w:numId w:val="1010"/>
        </w:numPr>
        <w:spacing w:after="13" w:line="218" w:lineRule="auto"/>
        <w:ind w:left="346" w:hanging="346"/>
        <w:jc w:val="left"/>
        <w:keepLines/>
      </w:pPr>
      <w:r>
        <w:rPr>
          <w:sz w:val="14"/>
        </w:rPr>
        <w:t xml:space="preserve">Nielsen, J. L. (2026).</w:t>
      </w:r>
      <w:r>
        <w:rPr>
          <w:sz w:val="14"/>
        </w:rPr>
        <w:t xml:space="preserve"> </w:t>
      </w:r>
      <w:r>
        <w:rPr>
          <w:i/>
          <w:iCs/>
          <w:sz w:val="14"/>
        </w:rPr>
        <w:t xml:space="preserve">Connes’ Rigidity Conjecture: Disproof of the Counterexamples and Proof of the Theorem</w:t>
      </w:r>
      <w:r>
        <w:rPr>
          <w:sz w:val="14"/>
        </w:rPr>
        <w:t xml:space="preserve">, version 47. PhilArchive. https://philarchive.org/archive/NIEWTCv47</w:t>
      </w:r>
    </w:p>
    <w:p>
      <w:pPr>
        <w:pStyle w:val="Compact"/>
        <w:numPr>
          <w:ilvl w:val="0"/>
          <w:numId w:val="1010"/>
        </w:numPr>
        <w:spacing w:after="13" w:line="218" w:lineRule="auto"/>
        <w:ind w:left="346" w:hanging="346"/>
        <w:jc w:val="left"/>
        <w:keepLines/>
      </w:pPr>
      <w:r>
        <w:rPr>
          <w:sz w:val="14"/>
        </w:rPr>
        <w:t xml:space="preserve">Nielsen, J. L. (2026).</w:t>
      </w:r>
      <w:r>
        <w:rPr>
          <w:sz w:val="14"/>
        </w:rPr>
        <w:t xml:space="preserve"> </w:t>
      </w:r>
      <w:r>
        <w:rPr>
          <w:i/>
          <w:iCs/>
          <w:sz w:val="14"/>
        </w:rPr>
        <w:t xml:space="preserve">Why the Claimed Disproof of Connes’ Rigidity Conjecture is Invalid</w:t>
      </w:r>
      <w:r>
        <w:rPr>
          <w:sz w:val="14"/>
        </w:rPr>
        <w:t xml:space="preserve">, version 1. PhilArchive. https://philarchive.org/archive/NIEWTCv1</w:t>
      </w:r>
    </w:p>
    <w:p>
      <w:pPr>
        <w:pStyle w:val="Compact"/>
        <w:numPr>
          <w:ilvl w:val="0"/>
          <w:numId w:val="1010"/>
        </w:numPr>
        <w:spacing w:after="13" w:line="218" w:lineRule="auto"/>
        <w:ind w:left="346" w:hanging="346"/>
        <w:jc w:val="left"/>
        <w:keepLines/>
      </w:pPr>
      <w:r>
        <w:rPr>
          <w:sz w:val="14"/>
        </w:rPr>
        <w:t xml:space="preserve">Nielsen, J. L. (2026).</w:t>
      </w:r>
      <w:r>
        <w:rPr>
          <w:sz w:val="14"/>
        </w:rPr>
        <w:t xml:space="preserve"> </w:t>
      </w:r>
      <w:r>
        <w:rPr>
          <w:i/>
          <w:iCs/>
          <w:sz w:val="14"/>
        </w:rPr>
        <w:t xml:space="preserve">On the Invalidity of the Claimed Disproof of Connes’ Rigidity Conjecture</w:t>
      </w:r>
      <w:r>
        <w:rPr>
          <w:sz w:val="14"/>
        </w:rPr>
        <w:t xml:space="preserve">, version 17. PhilArchive. https://philarchive.org/archive/NIEWTCv17</w:t>
      </w:r>
    </w:p>
    <w:p>
      <w:pPr>
        <w:pStyle w:val="Compact"/>
        <w:numPr>
          <w:ilvl w:val="0"/>
          <w:numId w:val="1010"/>
        </w:numPr>
        <w:spacing w:after="13" w:line="218" w:lineRule="auto"/>
        <w:ind w:left="346" w:hanging="346"/>
        <w:jc w:val="left"/>
        <w:keepLines/>
      </w:pPr>
      <w:r>
        <w:rPr>
          <w:sz w:val="14"/>
        </w:rPr>
        <w:t xml:space="preserve">PhilPapers. (2026). Versions of NIEWTC, showing versions 1-50; accessed 7 August 2026. https://philpapers.org/versions/NIEWTC</w:t>
      </w:r>
    </w:p>
    <w:p>
      <w:pPr>
        <w:pStyle w:val="Compact"/>
        <w:numPr>
          <w:ilvl w:val="0"/>
          <w:numId w:val="1010"/>
        </w:numPr>
        <w:spacing w:after="13" w:line="218" w:lineRule="auto"/>
        <w:ind w:left="346" w:hanging="346"/>
        <w:jc w:val="left"/>
        <w:keepLines/>
      </w:pPr>
      <w:r>
        <w:rPr>
          <w:sz w:val="14"/>
        </w:rPr>
        <w:t xml:space="preserve">OpenAI. (2026).</w:t>
      </w:r>
      <w:r>
        <w:rPr>
          <w:sz w:val="14"/>
        </w:rPr>
        <w:t xml:space="preserve"> </w:t>
      </w:r>
      <w:r>
        <w:rPr>
          <w:i/>
          <w:iCs/>
          <w:sz w:val="14"/>
        </w:rPr>
        <w:t xml:space="preserve">Ten Advances in Mathematics and Theoretical Computer Science</w:t>
      </w:r>
      <w:r>
        <w:rPr>
          <w:sz w:val="14"/>
        </w:rPr>
        <w:t xml:space="preserve">. https://cdn.openai.com/pdf/ten-proofs-oai.pdf</w:t>
      </w:r>
    </w:p>
    <w:p>
      <w:pPr>
        <w:pStyle w:val="Compact"/>
        <w:numPr>
          <w:ilvl w:val="0"/>
          <w:numId w:val="1010"/>
        </w:numPr>
        <w:spacing w:after="13" w:line="218" w:lineRule="auto"/>
        <w:ind w:left="346" w:hanging="346"/>
        <w:jc w:val="left"/>
        <w:keepLines/>
      </w:pPr>
      <w:r>
        <w:rPr>
          <w:sz w:val="14"/>
        </w:rPr>
        <w:t xml:space="preserve">OpenAI. (2026).</w:t>
      </w:r>
      <w:r>
        <w:rPr>
          <w:sz w:val="14"/>
        </w:rPr>
        <w:t xml:space="preserve"> </w:t>
      </w:r>
      <w:r>
        <w:rPr>
          <w:rStyle w:val="VerbatimChar"/>
          <w:sz w:val="14"/>
        </w:rPr>
        <w:t xml:space="preserve">ConnesRigidity.lean</w:t>
      </w:r>
      <w:r>
        <w:rPr>
          <w:sz w:val="14"/>
        </w:rPr>
        <w:t xml:space="preserve">, commit</w:t>
      </w:r>
      <w:r>
        <w:rPr>
          <w:sz w:val="14"/>
        </w:rPr>
        <w:t xml:space="preserve"> </w:t>
      </w:r>
      <w:r>
        <w:rPr>
          <w:rStyle w:val="VerbatimChar"/>
          <w:sz w:val="14"/>
        </w:rPr>
        <w:t xml:space="preserve">94bc0feb6a9ff12c7d31d6de640a725c9d43d2b6</w:t>
      </w:r>
      <w:r>
        <w:rPr>
          <w:sz w:val="14"/>
        </w:rPr>
        <w:t xml:space="preserve">.</w:t>
      </w:r>
      <w:r>
        <w:rPr>
          <w:sz w:val="14"/>
        </w:rPr>
        <w:t xml:space="preserve"> </w:t>
      </w:r>
      <w:r>
        <w:rPr>
          <w:i/>
          <w:iCs/>
          <w:sz w:val="14"/>
        </w:rPr>
        <w:t xml:space="preserve">openai/ten-proofs</w:t>
      </w:r>
      <w:r>
        <w:rPr>
          <w:sz w:val="14"/>
        </w:rPr>
        <w:t xml:space="preserve">. https://github.com/openai/ten-proofs/blob/94bc0feb6a9ff12c7d31d6de640a725c9d43d2b6/ConnesRigidity.lean</w:t>
      </w:r>
    </w:p>
    <w:p>
      <w:pPr>
        <w:pStyle w:val="Compact"/>
        <w:numPr>
          <w:ilvl w:val="0"/>
          <w:numId w:val="1010"/>
        </w:numPr>
        <w:spacing w:after="13" w:line="218" w:lineRule="auto"/>
        <w:ind w:left="346" w:hanging="346"/>
        <w:jc w:val="left"/>
        <w:keepLines/>
      </w:pPr>
      <w:r>
        <w:rPr>
          <w:i/>
          <w:iCs/>
          <w:sz w:val="14"/>
        </w:rPr>
        <w:t xml:space="preserve">Two non-isomorphic ICC property (T) groups with isomorphic group von Neumann algebras</w:t>
      </w:r>
      <w:r>
        <w:rPr>
          <w:sz w:val="14"/>
        </w:rPr>
        <w:t xml:space="preserve">. (Undated). Unsigned preprint hosted on Anthropic’s CDN; accessed 6 August 2026. https://www-cdn.anthropic.com/files/4zrzovbb/website/1f7272990efcd274cbf92b6fdc14e3e280f59fdc.pdf</w:t>
      </w:r>
    </w:p>
    <w:p>
      <w:pPr>
        <w:pStyle w:val="Compact"/>
        <w:numPr>
          <w:ilvl w:val="0"/>
          <w:numId w:val="1010"/>
        </w:numPr>
        <w:spacing w:after="13" w:line="218" w:lineRule="auto"/>
        <w:ind w:left="346" w:hanging="346"/>
        <w:jc w:val="left"/>
        <w:keepLines/>
      </w:pPr>
      <w:r>
        <w:rPr>
          <w:sz w:val="14"/>
        </w:rPr>
        <w:t xml:space="preserve">Red and Pemberton, R. A. (2026).</w:t>
      </w:r>
      <w:r>
        <w:rPr>
          <w:sz w:val="14"/>
        </w:rPr>
        <w:t xml:space="preserve"> </w:t>
      </w:r>
      <w:r>
        <w:rPr>
          <w:rStyle w:val="VerbatimChar"/>
          <w:sz w:val="14"/>
        </w:rPr>
        <w:t xml:space="preserve">verify_sp4_gauge.py</w:t>
      </w:r>
      <w:r>
        <w:rPr>
          <w:sz w:val="14"/>
        </w:rPr>
        <w:t xml:space="preserve">: exact-arithmetic regression tests for the Anthropic-hosted preprint. Supplement S1.</w:t>
      </w:r>
    </w:p>
    <w:p>
      <w:pPr>
        <w:pStyle w:val="Compact"/>
        <w:numPr>
          <w:ilvl w:val="0"/>
          <w:numId w:val="1010"/>
        </w:numPr>
        <w:spacing w:after="13" w:line="218" w:lineRule="auto"/>
        <w:ind w:left="346" w:hanging="346"/>
        <w:jc w:val="left"/>
        <w:keepLines/>
      </w:pPr>
      <w:r>
        <w:rPr>
          <w:sz w:val="14"/>
        </w:rPr>
        <w:t xml:space="preserve">Ioana, A. (2011). W</w:t>
      </w:r>
      <w:r>
        <w:rPr>
          <w:i/>
          <w:iCs/>
          <w:sz w:val="14"/>
        </w:rPr>
        <w:t xml:space="preserve">-superrigidity for Bernoulli actions of property (T) groups.</w:t>
      </w:r>
      <w:r>
        <w:rPr>
          <w:i/>
          <w:iCs/>
          <w:sz w:val="14"/>
        </w:rPr>
        <w:t xml:space="preserve"> </w:t>
      </w:r>
      <w:r>
        <w:rPr>
          <w:sz w:val="14"/>
        </w:rPr>
        <w:t xml:space="preserve">Journal of the American Mathematical Society*, 24(4), 1175-1226. https://doi.org/10.1090/S0894-0347-2011-00706-6 ; preprint https://arxiv.org/abs/1002.4595</w:t>
      </w:r>
    </w:p>
    <w:p>
      <w:pPr>
        <w:pStyle w:val="Compact"/>
        <w:numPr>
          <w:ilvl w:val="0"/>
          <w:numId w:val="1010"/>
        </w:numPr>
        <w:spacing w:after="13" w:line="218" w:lineRule="auto"/>
        <w:ind w:left="346" w:hanging="346"/>
        <w:jc w:val="left"/>
        <w:keepLines/>
      </w:pPr>
      <w:r>
        <w:rPr>
          <w:sz w:val="14"/>
        </w:rPr>
        <w:t xml:space="preserve">Red and Pemberton, R. A. (2026).</w:t>
      </w:r>
      <w:r>
        <w:rPr>
          <w:sz w:val="14"/>
        </w:rPr>
        <w:t xml:space="preserve"> </w:t>
      </w:r>
      <w:r>
        <w:rPr>
          <w:i/>
          <w:iCs/>
          <w:sz w:val="14"/>
        </w:rPr>
        <w:t xml:space="preserve">Connes conjecture counterexamples and Nielsen rebuttal analysis</w:t>
      </w:r>
      <w:r>
        <w:rPr>
          <w:sz w:val="14"/>
        </w:rPr>
        <w:t xml:space="preserve">. Public Claude share, archived in Supplement S1. https://claude.ai/share/03c91ccd-5c8d-4c0d-bcb3-fb2daa502afd</w:t>
      </w:r>
    </w:p>
    <w:p>
      <w:pPr>
        <w:pStyle w:val="Compact"/>
        <w:numPr>
          <w:ilvl w:val="0"/>
          <w:numId w:val="1010"/>
        </w:numPr>
        <w:spacing w:after="13" w:line="218" w:lineRule="auto"/>
        <w:ind w:left="346" w:hanging="346"/>
        <w:jc w:val="left"/>
        <w:keepLines/>
      </w:pPr>
      <w:r>
        <w:rPr>
          <w:sz w:val="14"/>
        </w:rPr>
        <w:t xml:space="preserve">Nielsen, J. L., and Claude Fable instance. (2026).</w:t>
      </w:r>
      <w:r>
        <w:rPr>
          <w:sz w:val="14"/>
        </w:rPr>
        <w:t xml:space="preserve"> </w:t>
      </w:r>
      <w:r>
        <w:rPr>
          <w:i/>
          <w:iCs/>
          <w:sz w:val="14"/>
        </w:rPr>
        <w:t xml:space="preserve">Math review and verification</w:t>
      </w:r>
      <w:r>
        <w:rPr>
          <w:sz w:val="14"/>
        </w:rPr>
        <w:t xml:space="preserve">. Public shared-chat snapshot supplied by Pemberton; archived with hash in Supplement S1.</w:t>
      </w:r>
    </w:p>
    <w:p>
      <w:pPr>
        <w:pStyle w:val="Compact"/>
        <w:numPr>
          <w:ilvl w:val="0"/>
          <w:numId w:val="1010"/>
        </w:numPr>
        <w:spacing w:after="13" w:line="218" w:lineRule="auto"/>
        <w:ind w:left="346" w:hanging="346"/>
        <w:jc w:val="left"/>
        <w:keepLines/>
      </w:pPr>
      <w:r>
        <w:rPr>
          <w:sz w:val="14"/>
        </w:rPr>
        <w:t xml:space="preserve">PhilArchive. (n.d.). About and submission information. https://philarchive.org/</w:t>
      </w:r>
    </w:p>
    <w:p>
      <w:pPr>
        <w:pStyle w:val="Compact"/>
        <w:numPr>
          <w:ilvl w:val="0"/>
          <w:numId w:val="1010"/>
        </w:numPr>
        <w:spacing w:after="13" w:line="218" w:lineRule="auto"/>
        <w:ind w:left="346" w:hanging="346"/>
        <w:jc w:val="left"/>
        <w:keepLines/>
      </w:pPr>
      <w:r>
        <w:rPr>
          <w:sz w:val="14"/>
        </w:rPr>
        <w:t xml:space="preserve">Sharma, M., Tong, M., Korbak, T., et al. (2023). Towards understanding sycophancy in language models. arXiv:2310.13548. https://arxiv.org/abs/2310.13548</w:t>
      </w:r>
    </w:p>
    <w:p>
      <w:pPr>
        <w:pStyle w:val="Compact"/>
        <w:numPr>
          <w:ilvl w:val="0"/>
          <w:numId w:val="1010"/>
        </w:numPr>
        <w:spacing w:after="13" w:line="218" w:lineRule="auto"/>
        <w:ind w:left="346" w:hanging="346"/>
        <w:jc w:val="left"/>
        <w:keepLines/>
      </w:pPr>
      <w:r>
        <w:rPr>
          <w:sz w:val="14"/>
        </w:rPr>
        <w:t xml:space="preserve">Wei, J., Huang, D., Lu, Y., Zhou, D., and Le, Q. V. (2023). Simple synthetic data reduces sycophancy in large language models. arXiv:2308.03958. https://arxiv.org/abs/2308.03958</w:t>
      </w:r>
    </w:p>
    <w:p>
      <w:pPr>
        <w:pStyle w:val="Compact"/>
        <w:numPr>
          <w:ilvl w:val="0"/>
          <w:numId w:val="1010"/>
        </w:numPr>
        <w:spacing w:after="13" w:line="218" w:lineRule="auto"/>
        <w:ind w:left="346" w:hanging="346"/>
        <w:jc w:val="left"/>
        <w:keepLines/>
      </w:pPr>
      <w:r>
        <w:rPr>
          <w:sz w:val="14"/>
        </w:rPr>
        <w:t xml:space="preserve">Autio, C., Schwartz, R., Dunietz, J., et al. (2024).</w:t>
      </w:r>
      <w:r>
        <w:rPr>
          <w:sz w:val="14"/>
        </w:rPr>
        <w:t xml:space="preserve"> </w:t>
      </w:r>
      <w:r>
        <w:rPr>
          <w:i/>
          <w:iCs/>
          <w:sz w:val="14"/>
        </w:rPr>
        <w:t xml:space="preserve">Artificial Intelligence Risk Management Framework: Generative Artificial Intelligence Profile</w:t>
      </w:r>
      <w:r>
        <w:rPr>
          <w:sz w:val="14"/>
        </w:rPr>
        <w:t xml:space="preserve">. NIST AI 600-1. https://doi.org/10.6028/NIST.AI.600-1</w:t>
      </w:r>
    </w:p>
    <w:p>
      <w:pPr>
        <w:pStyle w:val="Compact"/>
        <w:numPr>
          <w:ilvl w:val="0"/>
          <w:numId w:val="1010"/>
        </w:numPr>
        <w:spacing w:after="13" w:line="218" w:lineRule="auto"/>
        <w:ind w:left="346" w:hanging="346"/>
        <w:jc w:val="left"/>
        <w:keepLines/>
      </w:pPr>
      <w:r>
        <w:rPr>
          <w:sz w:val="14"/>
        </w:rPr>
        <w:t xml:space="preserve">International Committee of Medical Journal Editors. (n.d.).</w:t>
      </w:r>
      <w:r>
        <w:rPr>
          <w:sz w:val="14"/>
        </w:rPr>
        <w:t xml:space="preserve"> </w:t>
      </w:r>
      <w:r>
        <w:rPr>
          <w:i/>
          <w:iCs/>
          <w:sz w:val="14"/>
        </w:rPr>
        <w:t xml:space="preserve">Use of artificial intelligence in publishing</w:t>
      </w:r>
      <w:r>
        <w:rPr>
          <w:sz w:val="14"/>
        </w:rPr>
        <w:t xml:space="preserve">. Current recommendations, accessed 6 August 2026. https://www.icmje.org/recommendations/browse/artificial-intelligence/</w:t>
      </w:r>
    </w:p>
    <w:p>
      <w:pPr>
        <w:pStyle w:val="Compact"/>
        <w:numPr>
          <w:ilvl w:val="0"/>
          <w:numId w:val="1010"/>
        </w:numPr>
        <w:spacing w:after="13" w:line="218" w:lineRule="auto"/>
        <w:ind w:left="346" w:hanging="346"/>
        <w:jc w:val="left"/>
        <w:keepLines/>
      </w:pPr>
      <w:r>
        <w:rPr>
          <w:sz w:val="14"/>
        </w:rPr>
        <w:t xml:space="preserve">Walters, W. H., and Wilder, E. I. (2023). Fabrication and errors in the bibliographic citations generated by ChatGPT.</w:t>
      </w:r>
      <w:r>
        <w:rPr>
          <w:sz w:val="14"/>
        </w:rPr>
        <w:t xml:space="preserve"> </w:t>
      </w:r>
      <w:r>
        <w:rPr>
          <w:i/>
          <w:iCs/>
          <w:sz w:val="14"/>
        </w:rPr>
        <w:t xml:space="preserve">Scientific Reports, 13</w:t>
      </w:r>
      <w:r>
        <w:rPr>
          <w:sz w:val="14"/>
        </w:rPr>
        <w:t xml:space="preserve">, 14045. https://doi.org/10.1038/s41598-023-41032-5</w:t>
      </w:r>
    </w:p>
    <w:p>
      <w:pPr>
        <w:pStyle w:val="Compact"/>
        <w:numPr>
          <w:ilvl w:val="0"/>
          <w:numId w:val="1010"/>
        </w:numPr>
        <w:spacing w:after="13" w:line="218" w:lineRule="auto"/>
        <w:ind w:left="346" w:hanging="346"/>
        <w:jc w:val="left"/>
        <w:keepLines/>
      </w:pPr>
      <w:r>
        <w:rPr>
          <w:sz w:val="14"/>
        </w:rPr>
        <w:t xml:space="preserve">Brucks, M., and Toubia, O. (2025). Prompt architecture induces methodological artifacts in large language models.</w:t>
      </w:r>
      <w:r>
        <w:rPr>
          <w:sz w:val="14"/>
        </w:rPr>
        <w:t xml:space="preserve"> </w:t>
      </w:r>
      <w:r>
        <w:rPr>
          <w:i/>
          <w:iCs/>
          <w:sz w:val="14"/>
        </w:rPr>
        <w:t xml:space="preserve">PLOS ONE, 20</w:t>
      </w:r>
      <w:r>
        <w:rPr>
          <w:sz w:val="14"/>
        </w:rPr>
        <w:t xml:space="preserve">(4), e0319159. https://doi.org/10.1371/journal.pone.0319159</w:t>
      </w:r>
    </w:p>
    <w:p>
      <w:pPr>
        <w:pStyle w:val="Compact"/>
        <w:numPr>
          <w:ilvl w:val="0"/>
          <w:numId w:val="1010"/>
        </w:numPr>
        <w:spacing w:after="13" w:line="218" w:lineRule="auto"/>
        <w:ind w:left="346" w:hanging="346"/>
        <w:jc w:val="left"/>
        <w:keepLines/>
      </w:pPr>
      <w:r>
        <w:rPr>
          <w:sz w:val="14"/>
        </w:rPr>
        <w:t xml:space="preserve">Popa, S. (2007). Deformation and rigidity for group actions and von Neumann algebras. In</w:t>
      </w:r>
      <w:r>
        <w:rPr>
          <w:sz w:val="14"/>
        </w:rPr>
        <w:t xml:space="preserve"> </w:t>
      </w:r>
      <w:r>
        <w:rPr>
          <w:i/>
          <w:iCs/>
          <w:sz w:val="14"/>
        </w:rPr>
        <w:t xml:space="preserve">Proceedings of the International Congress of Mathematicians, Madrid 2006</w:t>
      </w:r>
      <w:r>
        <w:rPr>
          <w:sz w:val="14"/>
        </w:rPr>
        <w:t xml:space="preserve">, Vol. I, 445-477.</w:t>
      </w:r>
    </w:p>
    <w:p>
      <w:pPr>
        <w:pStyle w:val="Compact"/>
        <w:numPr>
          <w:ilvl w:val="0"/>
          <w:numId w:val="1010"/>
        </w:numPr>
        <w:spacing w:after="13" w:line="218" w:lineRule="auto"/>
        <w:ind w:left="346" w:hanging="346"/>
        <w:jc w:val="left"/>
        <w:keepLines/>
      </w:pPr>
      <w:r>
        <w:rPr>
          <w:sz w:val="14"/>
        </w:rPr>
        <w:t xml:space="preserve">Murray, F. J., and von Neumann, J. (1943). On rings of operators IV.</w:t>
      </w:r>
      <w:r>
        <w:rPr>
          <w:sz w:val="14"/>
        </w:rPr>
        <w:t xml:space="preserve"> </w:t>
      </w:r>
      <w:r>
        <w:rPr>
          <w:i/>
          <w:iCs/>
          <w:sz w:val="14"/>
        </w:rPr>
        <w:t xml:space="preserve">Annals of Mathematics, 44</w:t>
      </w:r>
      <w:r>
        <w:rPr>
          <w:sz w:val="14"/>
        </w:rPr>
        <w:t xml:space="preserve">, 716-808.</w:t>
      </w:r>
    </w:p>
    <w:p>
      <w:pPr>
        <w:pStyle w:val="Compact"/>
        <w:numPr>
          <w:ilvl w:val="0"/>
          <w:numId w:val="1010"/>
        </w:numPr>
        <w:spacing w:after="13" w:line="218" w:lineRule="auto"/>
        <w:ind w:left="346" w:hanging="346"/>
        <w:jc w:val="left"/>
        <w:keepLines/>
      </w:pPr>
      <w:r>
        <w:rPr>
          <w:sz w:val="14"/>
        </w:rPr>
        <w:t xml:space="preserve">Connes, A., and Jones, V. F. R. (1985). Property (T) for von Neumann algebras.</w:t>
      </w:r>
      <w:r>
        <w:rPr>
          <w:sz w:val="14"/>
        </w:rPr>
        <w:t xml:space="preserve"> </w:t>
      </w:r>
      <w:r>
        <w:rPr>
          <w:i/>
          <w:iCs/>
          <w:sz w:val="14"/>
        </w:rPr>
        <w:t xml:space="preserve">Bulletin of the London Mathematical Society, 17</w:t>
      </w:r>
      <w:r>
        <w:rPr>
          <w:sz w:val="14"/>
        </w:rPr>
        <w:t xml:space="preserve">, 57-62.</w:t>
      </w:r>
    </w:p>
    <w:p>
      <w:pPr>
        <w:pStyle w:val="Compact"/>
        <w:numPr>
          <w:ilvl w:val="0"/>
          <w:numId w:val="1010"/>
        </w:numPr>
        <w:spacing w:after="13" w:line="218" w:lineRule="auto"/>
        <w:ind w:left="346" w:hanging="346"/>
        <w:jc w:val="left"/>
        <w:keepLines/>
      </w:pPr>
      <w:r>
        <w:rPr>
          <w:sz w:val="14"/>
        </w:rPr>
        <w:t xml:space="preserve">Nielsen, J. L.; AcerFur; Grok; Pemberton, R. A.; and other public participants. (2026). Public X exchanges, 2-6 August 2026. Full-context screenshots supplied by Pemberton and archived in Supplement S1.</w:t>
      </w:r>
    </w:p>
    <w:p>
      <w:pPr>
        <w:pStyle w:val="Compact"/>
        <w:numPr>
          <w:ilvl w:val="0"/>
          <w:numId w:val="1010"/>
        </w:numPr>
        <w:spacing w:after="13" w:line="218" w:lineRule="auto"/>
        <w:ind w:left="346" w:hanging="346"/>
        <w:jc w:val="left"/>
        <w:keepLines/>
      </w:pPr>
      <w:r>
        <w:rPr>
          <w:sz w:val="14"/>
        </w:rPr>
        <w:t xml:space="preserve">Pemberton, R. A., and Claude Code. (2026).</w:t>
      </w:r>
      <w:r>
        <w:rPr>
          <w:sz w:val="14"/>
        </w:rPr>
        <w:t xml:space="preserve"> </w:t>
      </w:r>
      <w:r>
        <w:rPr>
          <w:i/>
          <w:iCs/>
          <w:sz w:val="14"/>
        </w:rPr>
        <w:t xml:space="preserve">Reproducibility and Source-Integrity Audit of</w:t>
      </w:r>
      <w:r>
        <w:rPr>
          <w:i/>
          <w:iCs/>
          <w:sz w:val="14"/>
        </w:rPr>
        <w:t xml:space="preserve"> </w:t>
      </w:r>
      <w:r>
        <w:rPr>
          <w:rStyle w:val="VerbatimChar"/>
          <w:i/>
          <w:iCs/>
          <w:sz w:val="14"/>
        </w:rPr>
        <w:t xml:space="preserve">ConnesRigidity.lean</w:t>
      </w:r>
      <w:r>
        <w:rPr>
          <w:i/>
          <w:iCs/>
          <w:sz w:val="14"/>
        </w:rPr>
        <w:t xml:space="preserve"> </w:t>
      </w:r>
      <w:r>
        <w:rPr>
          <w:i/>
          <w:iCs/>
          <w:sz w:val="14"/>
        </w:rPr>
        <w:t xml:space="preserve">at commit</w:t>
      </w:r>
      <w:r>
        <w:rPr>
          <w:i/>
          <w:iCs/>
          <w:sz w:val="14"/>
        </w:rPr>
        <w:t xml:space="preserve"> </w:t>
      </w:r>
      <w:r>
        <w:rPr>
          <w:rStyle w:val="VerbatimChar"/>
          <w:i/>
          <w:iCs/>
          <w:sz w:val="14"/>
        </w:rPr>
        <w:t xml:space="preserve">94bc0feb</w:t>
      </w:r>
      <w:r>
        <w:rPr>
          <w:sz w:val="14"/>
        </w:rPr>
        <w:t xml:space="preserve">. Local audit archive, SHA-256</w:t>
      </w:r>
      <w:r>
        <w:rPr>
          <w:sz w:val="14"/>
        </w:rPr>
        <w:t xml:space="preserve"> </w:t>
      </w:r>
      <w:r>
        <w:rPr>
          <w:rStyle w:val="VerbatimChar"/>
          <w:sz w:val="14"/>
        </w:rPr>
        <w:t xml:space="preserve">6155f5a742e23fa25580a009f155e109aa4a87014e671d2067d73e55e17839bf</w:t>
      </w:r>
      <w:r>
        <w:rPr>
          <w:sz w:val="14"/>
        </w:rPr>
        <w:t xml:space="preserve">, archived in Supplement S1.</w:t>
      </w:r>
    </w:p>
    <w:p>
      <w:pPr>
        <w:pStyle w:val="Compact"/>
        <w:numPr>
          <w:ilvl w:val="0"/>
          <w:numId w:val="1010"/>
        </w:numPr>
        <w:spacing w:after="13" w:line="218" w:lineRule="auto"/>
        <w:ind w:left="346" w:hanging="346"/>
        <w:jc w:val="left"/>
        <w:keepLines/>
      </w:pPr>
      <w:r>
        <w:rPr>
          <w:sz w:val="14"/>
        </w:rPr>
        <w:t xml:space="preserve">Leanprover. (2026).</w:t>
      </w:r>
      <w:r>
        <w:rPr>
          <w:sz w:val="14"/>
        </w:rPr>
        <w:t xml:space="preserve"> </w:t>
      </w:r>
      <w:r>
        <w:rPr>
          <w:i/>
          <w:iCs/>
          <w:sz w:val="14"/>
        </w:rPr>
        <w:t xml:space="preserve">Comparator</w:t>
      </w:r>
      <w:r>
        <w:rPr>
          <w:sz w:val="14"/>
        </w:rPr>
        <w:t xml:space="preserve">. Pinned repository and README. https://github.com/leanprover/comparator</w:t>
      </w:r>
    </w:p>
    <w:p>
      <w:pPr>
        <w:pStyle w:val="Compact"/>
        <w:numPr>
          <w:ilvl w:val="0"/>
          <w:numId w:val="1010"/>
        </w:numPr>
        <w:spacing w:after="13" w:line="218" w:lineRule="auto"/>
        <w:ind w:left="346" w:hanging="346"/>
        <w:jc w:val="left"/>
        <w:keepLines/>
      </w:pPr>
      <w:r>
        <w:rPr>
          <w:sz w:val="14"/>
        </w:rPr>
        <w:t xml:space="preserve">Weston, M. E., McIntosh, D. H., Brodwin, M., Mann, J., Cooper, A., McConnell, A., and Nielsen, J. L. (2017). Incidence of WISE-selected obscured AGNs in major mergers and interactions from the SDSS.</w:t>
      </w:r>
      <w:r>
        <w:rPr>
          <w:sz w:val="14"/>
        </w:rPr>
        <w:t xml:space="preserve"> </w:t>
      </w:r>
      <w:r>
        <w:rPr>
          <w:i/>
          <w:iCs/>
          <w:sz w:val="14"/>
        </w:rPr>
        <w:t xml:space="preserve">Monthly Notices of the Royal Astronomical Society, 464</w:t>
      </w:r>
      <w:r>
        <w:rPr>
          <w:sz w:val="14"/>
        </w:rPr>
        <w:t xml:space="preserve">(4), 3882-3906. Published online 12 October 2016. https://doi.org/10.1093/mnras/stw2620</w:t>
      </w:r>
    </w:p>
    <w:p>
      <w:pPr>
        <w:pStyle w:val="Compact"/>
        <w:numPr>
          <w:ilvl w:val="0"/>
          <w:numId w:val="1010"/>
        </w:numPr>
        <w:spacing w:after="13" w:line="218" w:lineRule="auto"/>
        <w:ind w:left="346" w:hanging="346"/>
        <w:jc w:val="left"/>
        <w:keepLines/>
      </w:pPr>
      <w:r>
        <w:rPr>
          <w:sz w:val="14"/>
        </w:rPr>
        <w:t xml:space="preserve">Nielsen, J. L., and Semita, L. (2025-2026).</w:t>
      </w:r>
      <w:r>
        <w:rPr>
          <w:sz w:val="14"/>
        </w:rPr>
        <w:t xml:space="preserve"> </w:t>
      </w:r>
      <w:r>
        <w:rPr>
          <w:i/>
          <w:iCs/>
          <w:sz w:val="14"/>
        </w:rPr>
        <w:t xml:space="preserve">The Proof of the Riemann Hypothesis</w:t>
      </w:r>
      <w:r>
        <w:rPr>
          <w:sz w:val="14"/>
        </w:rPr>
        <w:t xml:space="preserve">. PhilArchive manuscript record and version history. https://philpapers.org/versions/NIEPOT-5</w:t>
      </w:r>
    </w:p>
    <w:p>
      <w:pPr>
        <w:pStyle w:val="Compact"/>
        <w:numPr>
          <w:ilvl w:val="0"/>
          <w:numId w:val="1010"/>
        </w:numPr>
        <w:spacing w:after="13" w:line="218" w:lineRule="auto"/>
        <w:ind w:left="346" w:hanging="346"/>
        <w:jc w:val="left"/>
        <w:keepLines/>
      </w:pPr>
      <w:r>
        <w:rPr>
          <w:sz w:val="14"/>
        </w:rPr>
        <w:t xml:space="preserve">Nielsen, J. L., and Semita, L. (2025-2026).</w:t>
      </w:r>
      <w:r>
        <w:rPr>
          <w:sz w:val="14"/>
        </w:rPr>
        <w:t xml:space="preserve"> </w:t>
      </w:r>
      <w:r>
        <w:rPr>
          <w:i/>
          <w:iCs/>
          <w:sz w:val="14"/>
        </w:rPr>
        <w:t xml:space="preserve">The Solution to the Navier Stokes Problem</w:t>
      </w:r>
      <w:r>
        <w:rPr>
          <w:sz w:val="14"/>
        </w:rPr>
        <w:t xml:space="preserve">. PhilArchive manuscript record and version history. https://philpapers.org/versions/NIETST-3</w:t>
      </w:r>
    </w:p>
    <w:p>
      <w:pPr>
        <w:pStyle w:val="Compact"/>
        <w:numPr>
          <w:ilvl w:val="0"/>
          <w:numId w:val="1010"/>
        </w:numPr>
        <w:spacing w:after="13" w:line="218" w:lineRule="auto"/>
        <w:ind w:left="346" w:hanging="346"/>
        <w:jc w:val="left"/>
        <w:keepLines/>
      </w:pPr>
      <w:r>
        <w:rPr>
          <w:sz w:val="14"/>
        </w:rPr>
        <w:t xml:space="preserve">Nielsen, J. L. (2025).</w:t>
      </w:r>
      <w:r>
        <w:rPr>
          <w:sz w:val="14"/>
        </w:rPr>
        <w:t xml:space="preserve"> </w:t>
      </w:r>
      <w:r>
        <w:rPr>
          <w:i/>
          <w:iCs/>
          <w:sz w:val="14"/>
        </w:rPr>
        <w:t xml:space="preserve">Topological Enforcement of the Yang-Mills Mass Gap via the TUFT Fibration S1 -&gt; S9 -&gt; CP4</w:t>
      </w:r>
      <w:r>
        <w:rPr>
          <w:sz w:val="14"/>
        </w:rPr>
        <w:t xml:space="preserve">. PhilArchive manuscript record. https://philpapers.org/versions/NIETEO-12</w:t>
      </w:r>
    </w:p>
    <w:p>
      <w:pPr>
        <w:pStyle w:val="Compact"/>
        <w:numPr>
          <w:ilvl w:val="0"/>
          <w:numId w:val="1010"/>
        </w:numPr>
        <w:spacing w:after="13" w:line="218" w:lineRule="auto"/>
        <w:ind w:left="346" w:hanging="346"/>
        <w:jc w:val="left"/>
        <w:keepLines/>
      </w:pPr>
      <w:r>
        <w:rPr>
          <w:sz w:val="14"/>
        </w:rPr>
        <w:t xml:space="preserve">Nielsen, J. L. (forthcoming record).</w:t>
      </w:r>
      <w:r>
        <w:rPr>
          <w:sz w:val="14"/>
        </w:rPr>
        <w:t xml:space="preserve"> </w:t>
      </w:r>
      <w:r>
        <w:rPr>
          <w:i/>
          <w:iCs/>
          <w:sz w:val="14"/>
        </w:rPr>
        <w:t xml:space="preserve">The Topological Unified Field Theory on the Complex Hopf Fibration</w:t>
      </w:r>
      <w:r>
        <w:rPr>
          <w:sz w:val="14"/>
        </w:rPr>
        <w:t xml:space="preserve">. PhilPapers version history, accessed 7 August 2026. https://philpapers.org/versions/NIETTU</w:t>
      </w:r>
    </w:p>
    <w:p>
      <w:pPr>
        <w:pStyle w:val="Compact"/>
        <w:numPr>
          <w:ilvl w:val="0"/>
          <w:numId w:val="1010"/>
        </w:numPr>
        <w:spacing w:after="13" w:line="218" w:lineRule="auto"/>
        <w:ind w:left="346" w:hanging="346"/>
        <w:jc w:val="left"/>
        <w:keepLines/>
      </w:pPr>
      <w:r>
        <w:rPr>
          <w:sz w:val="14"/>
        </w:rPr>
        <w:t xml:space="preserve">Nielsen, J. L. (2026).</w:t>
      </w:r>
      <w:r>
        <w:rPr>
          <w:sz w:val="14"/>
        </w:rPr>
        <w:t xml:space="preserve"> </w:t>
      </w:r>
      <w:r>
        <w:rPr>
          <w:i/>
          <w:iCs/>
          <w:sz w:val="14"/>
        </w:rPr>
        <w:t xml:space="preserve">Connes’ Rigidity Conjecture: Disproof of the Counterexamples and Proof of the Theorem</w:t>
      </w:r>
      <w:r>
        <w:rPr>
          <w:sz w:val="14"/>
        </w:rPr>
        <w:t xml:space="preserve">, version 50. PhilArchive. Local audited SHA-256</w:t>
      </w:r>
      <w:r>
        <w:rPr>
          <w:sz w:val="14"/>
        </w:rPr>
        <w:t xml:space="preserve"> </w:t>
      </w:r>
      <w:r>
        <w:rPr>
          <w:rStyle w:val="VerbatimChar"/>
          <w:sz w:val="14"/>
        </w:rPr>
        <w:t xml:space="preserve">c5f1a028b3f3345e4cbd5557246efe3058c615d1e11f3a70a947c65255c2414a</w:t>
      </w:r>
      <w:r>
        <w:rPr>
          <w:sz w:val="14"/>
        </w:rPr>
        <w:t xml:space="preserve">. https://philarchive.org/archive/NIEWTCv50</w:t>
      </w:r>
    </w:p>
    <w:p>
      <w:pPr>
        <w:pStyle w:val="Compact"/>
        <w:numPr>
          <w:ilvl w:val="0"/>
          <w:numId w:val="1010"/>
        </w:numPr>
        <w:spacing w:after="13" w:line="218" w:lineRule="auto"/>
        <w:ind w:left="346" w:hanging="346"/>
        <w:jc w:val="left"/>
        <w:keepLines/>
      </w:pPr>
      <w:r>
        <w:rPr>
          <w:sz w:val="14"/>
        </w:rPr>
        <w:t xml:space="preserve">OpenAI Codex and Pemberton, R. A. (2026).</w:t>
      </w:r>
      <w:r>
        <w:rPr>
          <w:sz w:val="14"/>
        </w:rPr>
        <w:t xml:space="preserve"> </w:t>
      </w:r>
      <w:r>
        <w:rPr>
          <w:i/>
          <w:iCs/>
          <w:sz w:val="14"/>
        </w:rPr>
        <w:t xml:space="preserve">Staged adversarial review C0-C5 and blocked Gemini source-access attempt</w:t>
      </w:r>
      <w:r>
        <w:rPr>
          <w:sz w:val="14"/>
        </w:rPr>
        <w:t xml:space="preserve">. Sanitized reports, prompts, screenshots, manifests, and the SHA-256 hash of the original</w:t>
      </w:r>
      <w:r>
        <w:rPr>
          <w:sz w:val="14"/>
        </w:rPr>
        <w:t xml:space="preserve"> </w:t>
      </w:r>
      <w:r>
        <w:rPr>
          <w:rStyle w:val="VerbatimChar"/>
          <w:sz w:val="14"/>
        </w:rPr>
        <w:t xml:space="preserve">review-output.7z</w:t>
      </w:r>
      <w:r>
        <w:rPr>
          <w:sz w:val="14"/>
        </w:rPr>
        <w:t xml:space="preserve"> </w:t>
      </w:r>
      <w:r>
        <w:rPr>
          <w:sz w:val="14"/>
        </w:rPr>
        <w:t xml:space="preserve">are archived in Supplement S1; the raw archive is retained privately to avoid redistributing unrelated third-party materials and local-path metadata.</w:t>
      </w:r>
    </w:p>
    <w:p>
      <w:pPr>
        <w:pStyle w:val="Compact"/>
        <w:numPr>
          <w:ilvl w:val="0"/>
          <w:numId w:val="1010"/>
        </w:numPr>
        <w:spacing w:after="13" w:line="218" w:lineRule="auto"/>
        <w:ind w:left="346" w:hanging="346"/>
        <w:jc w:val="left"/>
        <w:keepLines/>
      </w:pPr>
      <w:r>
        <w:rPr>
          <w:sz w:val="14"/>
        </w:rPr>
        <w:t xml:space="preserve">Meta AI, Nielsen, J. L., and Pemberton, R. A. (2026). Facebook search summary and promotional-reel screenshots, 7 August 2026. Original captures and hashes archived in Supplement S1.</w:t>
      </w:r>
    </w:p>
    <w:p>
      <w:pPr>
        <w:pStyle w:val="Compact"/>
        <w:numPr>
          <w:ilvl w:val="0"/>
          <w:numId w:val="1010"/>
        </w:numPr>
        <w:spacing w:after="13" w:line="218" w:lineRule="auto"/>
        <w:ind w:left="346" w:hanging="346"/>
        <w:jc w:val="left"/>
        <w:keepLines/>
      </w:pPr>
      <w:r>
        <w:rPr>
          <w:sz w:val="14"/>
        </w:rPr>
        <w:t xml:space="preserve">Meta. (2024).</w:t>
      </w:r>
      <w:r>
        <w:rPr>
          <w:sz w:val="14"/>
        </w:rPr>
        <w:t xml:space="preserve"> </w:t>
      </w:r>
      <w:r>
        <w:rPr>
          <w:i/>
          <w:iCs/>
          <w:sz w:val="14"/>
        </w:rPr>
        <w:t xml:space="preserve">Meta AI is available in search across Facebook, Instagram, WhatsApp and Messenger</w:t>
      </w:r>
      <w:r>
        <w:rPr>
          <w:sz w:val="14"/>
        </w:rPr>
        <w:t xml:space="preserve">. Meta Newsroom. https://about.fb.com/ltam/news/2024/04/conoce-mas-sobre-meta-ai-creado-con-llama-3/</w:t>
      </w:r>
    </w:p>
    <w:p>
      <w:pPr>
        <w:pStyle w:val="Compact"/>
        <w:numPr>
          <w:ilvl w:val="0"/>
          <w:numId w:val="1010"/>
        </w:numPr>
        <w:spacing w:after="13" w:line="218" w:lineRule="auto"/>
        <w:ind w:left="346" w:hanging="346"/>
        <w:jc w:val="left"/>
        <w:keepLines/>
      </w:pPr>
      <w:r>
        <w:rPr>
          <w:sz w:val="14"/>
        </w:rPr>
        <w:t xml:space="preserve">Meta. (2026).</w:t>
      </w:r>
      <w:r>
        <w:rPr>
          <w:sz w:val="14"/>
        </w:rPr>
        <w:t xml:space="preserve"> </w:t>
      </w:r>
      <w:r>
        <w:rPr>
          <w:i/>
          <w:iCs/>
          <w:sz w:val="14"/>
        </w:rPr>
        <w:t xml:space="preserve">New AI Tools to Help You Make Things Happen on Facebook</w:t>
      </w:r>
      <w:r>
        <w:rPr>
          <w:sz w:val="14"/>
        </w:rPr>
        <w:t xml:space="preserve">. Meta Newsroom. https://about.fb.com/news/2026/06/new-ai-tools-to-help-you-make-things-happen-on-facebook/</w:t>
      </w:r>
    </w:p>
    <w:p>
      <w:pPr>
        <w:pStyle w:val="Compact"/>
        <w:numPr>
          <w:ilvl w:val="0"/>
          <w:numId w:val="1010"/>
        </w:numPr>
        <w:spacing w:after="13" w:line="218" w:lineRule="auto"/>
        <w:ind w:left="346" w:hanging="346"/>
        <w:jc w:val="left"/>
        <w:keepLines/>
      </w:pPr>
      <w:r>
        <w:rPr>
          <w:sz w:val="14"/>
        </w:rPr>
        <w:t xml:space="preserve">Google. (2025).</w:t>
      </w:r>
      <w:r>
        <w:rPr>
          <w:sz w:val="14"/>
        </w:rPr>
        <w:t xml:space="preserve"> </w:t>
      </w:r>
      <w:r>
        <w:rPr>
          <w:i/>
          <w:iCs/>
          <w:sz w:val="14"/>
        </w:rPr>
        <w:t xml:space="preserve">Expanding AI Overviews and introducing AI Mode</w:t>
      </w:r>
      <w:r>
        <w:rPr>
          <w:sz w:val="14"/>
        </w:rPr>
        <w:t xml:space="preserve">. Google Search blog. https://blog.google/products-and-platforms/products/search/ai-mode-search/</w:t>
      </w:r>
    </w:p>
    <w:p>
      <w:pPr>
        <w:pStyle w:val="Compact"/>
        <w:numPr>
          <w:ilvl w:val="0"/>
          <w:numId w:val="1010"/>
        </w:numPr>
        <w:spacing w:after="13" w:line="218" w:lineRule="auto"/>
        <w:ind w:left="346" w:hanging="346"/>
        <w:jc w:val="left"/>
        <w:keepLines/>
      </w:pPr>
      <w:r>
        <w:rPr>
          <w:sz w:val="14"/>
        </w:rPr>
        <w:t xml:space="preserve">Google. (2025).</w:t>
      </w:r>
      <w:r>
        <w:rPr>
          <w:sz w:val="14"/>
        </w:rPr>
        <w:t xml:space="preserve"> </w:t>
      </w:r>
      <w:r>
        <w:rPr>
          <w:i/>
          <w:iCs/>
          <w:sz w:val="14"/>
        </w:rPr>
        <w:t xml:space="preserve">Bringing multimodal search to AI Mode</w:t>
      </w:r>
      <w:r>
        <w:rPr>
          <w:sz w:val="14"/>
        </w:rPr>
        <w:t xml:space="preserve">. Google Search blog. https://blog.google/products-and-platforms/products/search/ai-mode-multimodal-search/</w:t>
      </w:r>
    </w:p>
    <w:p>
      <w:pPr>
        <w:pStyle w:val="Compact"/>
        <w:numPr>
          <w:ilvl w:val="0"/>
          <w:numId w:val="1010"/>
        </w:numPr>
        <w:spacing w:after="13" w:line="218" w:lineRule="auto"/>
        <w:ind w:left="346" w:hanging="346"/>
        <w:jc w:val="left"/>
        <w:keepLines/>
      </w:pPr>
      <w:r>
        <w:rPr>
          <w:sz w:val="14"/>
        </w:rPr>
        <w:t xml:space="preserve">Liu, N. F., Zhang, T., and Liang, P. (2023). Evaluating verifiability in generative search engines. arXiv:2304.09848. https://arxiv.org/abs/2304.09848</w:t>
      </w:r>
    </w:p>
    <w:p>
      <w:pPr>
        <w:pStyle w:val="Compact"/>
        <w:numPr>
          <w:ilvl w:val="0"/>
          <w:numId w:val="1010"/>
        </w:numPr>
        <w:spacing w:after="13" w:line="218" w:lineRule="auto"/>
        <w:ind w:left="346" w:hanging="346"/>
        <w:jc w:val="left"/>
        <w:keepLines/>
      </w:pPr>
      <w:r>
        <w:rPr>
          <w:sz w:val="14"/>
        </w:rPr>
        <w:t xml:space="preserve">Jazwinska, K., and Chandrasekar, A. (2025). AI search has a citation problem.</w:t>
      </w:r>
      <w:r>
        <w:rPr>
          <w:sz w:val="14"/>
        </w:rPr>
        <w:t xml:space="preserve"> </w:t>
      </w:r>
      <w:r>
        <w:rPr>
          <w:i/>
          <w:iCs/>
          <w:sz w:val="14"/>
        </w:rPr>
        <w:t xml:space="preserve">Columbia Journalism Review</w:t>
      </w:r>
      <w:r>
        <w:rPr>
          <w:sz w:val="14"/>
        </w:rPr>
        <w:t xml:space="preserve">, Tow Center for Digital Journalism. https://www.cjr.org/tow_center/we-compared-eight-ai-search-engines-theyre-all-bad-at-citing-news.php</w:t>
      </w:r>
    </w:p>
    <w:p>
      <w:pPr>
        <w:pStyle w:val="Compact"/>
        <w:numPr>
          <w:ilvl w:val="0"/>
          <w:numId w:val="1010"/>
        </w:numPr>
        <w:spacing w:after="13" w:line="218" w:lineRule="auto"/>
        <w:ind w:left="346" w:hanging="346"/>
        <w:jc w:val="left"/>
        <w:keepLines/>
      </w:pPr>
      <w:r>
        <w:rPr>
          <w:sz w:val="14"/>
        </w:rPr>
        <w:t xml:space="preserve">Zhang, K., He, X., and Yao, J. (2026). From citation selection to citation absorption: A measurement framework for generative engine optimization across AI search platforms. arXiv:2604.25707. https://arxiv.org/abs/2604.25707</w:t>
      </w:r>
    </w:p>
    <w:p>
      <w:pPr>
        <w:pStyle w:val="Compact"/>
        <w:numPr>
          <w:ilvl w:val="0"/>
          <w:numId w:val="1010"/>
        </w:numPr>
        <w:spacing w:after="13" w:line="218" w:lineRule="auto"/>
        <w:ind w:left="346" w:hanging="346"/>
        <w:jc w:val="left"/>
        <w:keepLines/>
      </w:pPr>
      <w:r>
        <w:rPr>
          <w:sz w:val="14"/>
        </w:rPr>
        <w:t xml:space="preserve">Pemberton, R. A. (2026).</w:t>
      </w:r>
      <w:r>
        <w:rPr>
          <w:sz w:val="14"/>
        </w:rPr>
        <w:t xml:space="preserve"> </w:t>
      </w:r>
      <w:r>
        <w:rPr>
          <w:rStyle w:val="VerbatimChar"/>
          <w:sz w:val="14"/>
        </w:rPr>
        <w:t xml:space="preserve">MoonUnit97</w:t>
      </w:r>
      <w:r>
        <w:rPr>
          <w:sz w:val="14"/>
        </w:rPr>
        <w:t xml:space="preserve"> </w:t>
      </w:r>
      <w:r>
        <w:rPr>
          <w:sz w:val="14"/>
        </w:rPr>
        <w:t xml:space="preserve">Hacker News profile and public comments concerning Nielsen, Opus, Grok, OpenAI, and peer review, captured 8 August 2026. Original screenshots and hashes archived in Supplement S1; account ownership not attributed.</w:t>
      </w:r>
    </w:p>
    <w:p>
      <w:pPr>
        <w:pStyle w:val="Compact"/>
        <w:numPr>
          <w:ilvl w:val="0"/>
          <w:numId w:val="1010"/>
        </w:numPr>
        <w:spacing w:after="13" w:line="218" w:lineRule="auto"/>
        <w:ind w:left="346" w:hanging="346"/>
        <w:jc w:val="left"/>
        <w:keepLines/>
      </w:pPr>
      <w:r>
        <w:rPr>
          <w:sz w:val="14"/>
        </w:rPr>
        <w:t xml:space="preserve">OpenAI Codex and Pemberton, R. A. (2026).</w:t>
      </w:r>
      <w:r>
        <w:rPr>
          <w:sz w:val="14"/>
        </w:rPr>
        <w:t xml:space="preserve"> </w:t>
      </w:r>
      <w:r>
        <w:rPr>
          <w:i/>
          <w:iCs/>
          <w:sz w:val="14"/>
        </w:rPr>
        <w:t xml:space="preserve">Documentary audit of Claude Code’s</w:t>
      </w:r>
      <w:r>
        <w:rPr>
          <w:i/>
          <w:iCs/>
          <w:sz w:val="14"/>
        </w:rPr>
        <w:t xml:space="preserve"> </w:t>
      </w:r>
      <w:r>
        <w:rPr>
          <w:rStyle w:val="VerbatimChar"/>
          <w:i/>
          <w:iCs/>
          <w:sz w:val="14"/>
        </w:rPr>
        <w:t xml:space="preserve">ConnesRigidity.lean</w:t>
      </w:r>
      <w:r>
        <w:rPr>
          <w:i/>
          <w:iCs/>
          <w:sz w:val="14"/>
        </w:rPr>
        <w:t xml:space="preserve"> </w:t>
      </w:r>
      <w:r>
        <w:rPr>
          <w:i/>
          <w:iCs/>
          <w:sz w:val="14"/>
        </w:rPr>
        <w:t xml:space="preserve">reproducibility audit</w:t>
      </w:r>
      <w:r>
        <w:rPr>
          <w:sz w:val="14"/>
        </w:rPr>
        <w:t xml:space="preserve">. Return archive reported as</w:t>
      </w:r>
      <w:r>
        <w:rPr>
          <w:sz w:val="14"/>
        </w:rPr>
        <w:t xml:space="preserve"> </w:t>
      </w:r>
      <w:r>
        <w:rPr>
          <w:rStyle w:val="VerbatimChar"/>
          <w:sz w:val="14"/>
        </w:rPr>
        <w:t xml:space="preserve">CODEX_A_DOCUMENTARY_RETURN_20260808T233527Z.zip</w:t>
      </w:r>
      <w:r>
        <w:rPr>
          <w:sz w:val="14"/>
        </w:rPr>
        <w:t xml:space="preserve">, SHA-256</w:t>
      </w:r>
      <w:r>
        <w:rPr>
          <w:sz w:val="14"/>
        </w:rPr>
        <w:t xml:space="preserve"> </w:t>
      </w:r>
      <w:r>
        <w:rPr>
          <w:rStyle w:val="VerbatimChar"/>
          <w:sz w:val="14"/>
        </w:rPr>
        <w:t xml:space="preserve">804b69ec110ef52ebab413e265575d05d7ca4a83818ca0bac50e4e0c6a92c581</w:t>
      </w:r>
      <w:r>
        <w:rPr>
          <w:sz w:val="14"/>
        </w:rPr>
        <w:t xml:space="preserve">. Raw archive pending final supplement ingestion at this interim freeze.</w:t>
      </w:r>
    </w:p>
    <w:p>
      <w:pPr>
        <w:pStyle w:val="Compact"/>
        <w:numPr>
          <w:ilvl w:val="0"/>
          <w:numId w:val="1010"/>
        </w:numPr>
        <w:spacing w:after="13" w:line="218" w:lineRule="auto"/>
        <w:ind w:left="346" w:hanging="346"/>
        <w:jc w:val="left"/>
        <w:keepLines/>
      </w:pPr>
      <w:r>
        <w:rPr>
          <w:sz w:val="14"/>
        </w:rPr>
        <w:t xml:space="preserve">OpenAI Codex and Pemberton, R. A. (2026).</w:t>
      </w:r>
      <w:r>
        <w:rPr>
          <w:sz w:val="14"/>
        </w:rPr>
        <w:t xml:space="preserve"> </w:t>
      </w:r>
      <w:r>
        <w:rPr>
          <w:i/>
          <w:iCs/>
          <w:sz w:val="14"/>
        </w:rPr>
        <w:t xml:space="preserve">Fresh independent Lean reproducibility audit of</w:t>
      </w:r>
      <w:r>
        <w:rPr>
          <w:i/>
          <w:iCs/>
          <w:sz w:val="14"/>
        </w:rPr>
        <w:t xml:space="preserve"> </w:t>
      </w:r>
      <w:r>
        <w:rPr>
          <w:rStyle w:val="VerbatimChar"/>
          <w:i/>
          <w:iCs/>
          <w:sz w:val="14"/>
        </w:rPr>
        <w:t xml:space="preserve">ConnesRigidity.lean</w:t>
      </w:r>
      <w:r>
        <w:rPr>
          <w:sz w:val="14"/>
        </w:rPr>
        <w:t xml:space="preserve">. Return archive reported as</w:t>
      </w:r>
      <w:r>
        <w:rPr>
          <w:sz w:val="14"/>
        </w:rPr>
        <w:t xml:space="preserve"> </w:t>
      </w:r>
      <w:r>
        <w:rPr>
          <w:rStyle w:val="VerbatimChar"/>
          <w:sz w:val="14"/>
        </w:rPr>
        <w:t xml:space="preserve">CODEX_B_FRESH_LEAN_AUDIT_2026-08-08.tar.gz</w:t>
      </w:r>
      <w:r>
        <w:rPr>
          <w:sz w:val="14"/>
        </w:rPr>
        <w:t xml:space="preserve">, SHA-256</w:t>
      </w:r>
      <w:r>
        <w:rPr>
          <w:sz w:val="14"/>
        </w:rPr>
        <w:t xml:space="preserve"> </w:t>
      </w:r>
      <w:r>
        <w:rPr>
          <w:rStyle w:val="VerbatimChar"/>
          <w:sz w:val="14"/>
        </w:rPr>
        <w:t xml:space="preserve">6d874d75820ec0b1924a0ce54d5d14a6f55fd2e79be73688e2ae6db601eb0788</w:t>
      </w:r>
      <w:r>
        <w:rPr>
          <w:sz w:val="14"/>
        </w:rPr>
        <w:t xml:space="preserve">. Raw archive pending final supplement ingestion at this interim freeze.</w:t>
      </w:r>
    </w:p>
    <w:p>
      <w:pPr>
        <w:pStyle w:val="Compact"/>
        <w:numPr>
          <w:ilvl w:val="0"/>
          <w:numId w:val="1010"/>
        </w:numPr>
        <w:spacing w:after="13" w:line="218" w:lineRule="auto"/>
        <w:ind w:left="346" w:hanging="346"/>
        <w:jc w:val="left"/>
        <w:keepLines/>
      </w:pPr>
      <w:r>
        <w:rPr>
          <w:sz w:val="14"/>
        </w:rPr>
        <w:t xml:space="preserve">Chalmers, D. J. (2026).</w:t>
      </w:r>
      <w:r>
        <w:rPr>
          <w:sz w:val="14"/>
        </w:rPr>
        <w:t xml:space="preserve"> </w:t>
      </w:r>
      <w:r>
        <w:rPr>
          <w:i/>
          <w:iCs/>
          <w:sz w:val="14"/>
        </w:rPr>
        <w:t xml:space="preserve">What We Talk to When We Talk to Language Models</w:t>
      </w:r>
      <w:r>
        <w:rPr>
          <w:sz w:val="14"/>
        </w:rPr>
        <w:t xml:space="preserve">, version 2. PhilArchive manuscript. https://philarchive.org/rec/CHAWWT-8</w:t>
      </w:r>
    </w:p>
    <w:p>
      <w:pPr>
        <w:pStyle w:val="Compact"/>
        <w:numPr>
          <w:ilvl w:val="0"/>
          <w:numId w:val="1010"/>
        </w:numPr>
        <w:spacing w:after="13" w:line="218" w:lineRule="auto"/>
        <w:ind w:left="346" w:hanging="346"/>
        <w:jc w:val="left"/>
        <w:keepLines/>
      </w:pPr>
      <w:r>
        <w:rPr>
          <w:sz w:val="14"/>
        </w:rPr>
        <w:t xml:space="preserve">Chalmers, D. J. (2026).</w:t>
      </w:r>
      <w:r>
        <w:rPr>
          <w:sz w:val="14"/>
        </w:rPr>
        <w:t xml:space="preserve"> </w:t>
      </w:r>
      <w:r>
        <w:rPr>
          <w:sz w:val="14"/>
        </w:rPr>
        <w:t xml:space="preserve">“</w:t>
      </w:r>
      <w:r>
        <w:rPr>
          <w:sz w:val="14"/>
        </w:rPr>
        <w:t xml:space="preserve">What We Talk to When We Talk to Language Models.</w:t>
      </w:r>
      <w:r>
        <w:rPr>
          <w:sz w:val="14"/>
        </w:rPr>
        <w:t xml:space="preserve">”</w:t>
      </w:r>
      <w:r>
        <w:rPr>
          <w:sz w:val="14"/>
        </w:rPr>
        <w:t xml:space="preserve"> </w:t>
      </w:r>
      <w:r>
        <w:rPr>
          <w:sz w:val="14"/>
        </w:rPr>
        <w:t xml:space="preserve">Machine Learning at the Flatiron Institute seminar abstract, 24 March 2026. https://www.simonsfoundation.org/event/machine-learning-at-the-flatiron-institute-seminar-david-chalmers/</w:t>
      </w:r>
    </w:p>
    <w:p>
      <w:pPr>
        <w:pStyle w:val="Compact"/>
        <w:numPr>
          <w:ilvl w:val="0"/>
          <w:numId w:val="1010"/>
        </w:numPr>
        <w:spacing w:after="13" w:line="218" w:lineRule="auto"/>
        <w:ind w:left="346" w:hanging="346"/>
        <w:jc w:val="left"/>
        <w:keepLines/>
      </w:pPr>
      <w:r>
        <w:rPr>
          <w:sz w:val="14"/>
        </w:rPr>
        <w:t xml:space="preserve">Li, C., Wang, J., Zhang, Y., Zhu, K., Hou, W., Lian, J., Luo, F., Yang, Q., and Xie, X. (2023). Large language models understand and can be enhanced by emotional stimuli. arXiv:2307.11760. https://arxiv.org/abs/2307.11760</w:t>
      </w:r>
    </w:p>
    <w:p>
      <w:pPr>
        <w:pStyle w:val="Compact"/>
        <w:numPr>
          <w:ilvl w:val="0"/>
          <w:numId w:val="1010"/>
        </w:numPr>
        <w:spacing w:after="13" w:line="218" w:lineRule="auto"/>
        <w:ind w:left="346" w:hanging="346"/>
        <w:jc w:val="left"/>
        <w:keepLines/>
      </w:pPr>
      <w:r>
        <w:rPr>
          <w:sz w:val="14"/>
        </w:rPr>
        <w:t xml:space="preserve">Yin, Z., Wang, H., Horio, K., Kawahara, D., and Sekine, S. (2024). Should we respect LLMs? A cross-lingual study on the influence of prompt politeness on LLM performance. arXiv:2402.14531. https://arxiv.org/abs/2402.14531</w:t>
      </w:r>
    </w:p>
    <w:p>
      <w:pPr>
        <w:pStyle w:val="Compact"/>
        <w:numPr>
          <w:ilvl w:val="0"/>
          <w:numId w:val="1010"/>
        </w:numPr>
        <w:spacing w:after="13" w:line="218" w:lineRule="auto"/>
        <w:ind w:left="346" w:hanging="346"/>
        <w:jc w:val="left"/>
        <w:keepLines/>
      </w:pPr>
      <w:r>
        <w:rPr>
          <w:sz w:val="14"/>
        </w:rPr>
        <w:t xml:space="preserve">Cai, H., Shen, B., Jin, L., Hu, L., and Fan, X. (2025). Does tone change the answer? Evaluating prompt politeness effects on modern LLMs: GPT, Gemini, LLaMA. arXiv:2512.12812. https://arxiv.org/abs/2512.12812</w:t>
      </w:r>
    </w:p>
    <w:bookmarkEnd w:id="110"/>
    <w:bookmarkEnd w:id="111"/>
    <w:sectPr>
      <w:headerReference w:type="first" r:id="rId9"/>
      <w:footerReference w:type="first" r:id="rId10"/>
      <w:headerReference w:type="default" r:id="rId11"/>
      <w:footerReference w:type="default" r:id="rId12"/>
      <w:pgMar w:bottom="979" w:footer="432" w:header="403" w:left="1037" w:right="1037" w:top="979"/>
      <w:titlePg/>
      <w:pgNumType w:start="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Liberation Sans" w:hAnsi="Liberation Sans"/>
        <w:color w:val="5C5865"/>
        <w:sz w:val="16"/>
      </w:rPr>
      <w:fldChar w:fldCharType="begin"/>
      <w:instrText xml:space="preserve"> PAGE </w:instrText>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center"/>
      <w:pBdr>
        <w:bottom w:val="single" w:sz="5" w:space="3" w:color="B4AFC0"/>
      </w:pBdr>
    </w:pPr>
    <w:r>
      <w:rPr>
        <w:rFonts w:ascii="Liberation Sans" w:hAnsi="Liberation Sans"/>
        <w:b/>
        <w:color w:val="5C5865"/>
        <w:sz w:val="14"/>
      </w:rPr>
      <w:t>THE VERDICT AS AXIOM  |  PREPRINT v1.3 INTERIM  |  CODEX A/B INTEGRATED  |  B2 + CROSS-LAB PENDING</w:t>
    </w:r>
  </w:p>
</w:hdr>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411">
    <w:nsid w:val="00A99411"/>
    <w:multiLevelType w:val="multilevel"/>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991">
    <w:nsid w:val="0000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000">
    <w:abstractNumId w:val="990"/>
  </w:num>
  <w:num w:numId="1001">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2">
    <w:abstractNumId w:val="991"/>
  </w:num>
  <w:num w:numId="1003">
    <w:abstractNumId w:val="991"/>
  </w:num>
  <w:num w:numId="1004">
    <w:abstractNumId w:val="991"/>
  </w:num>
  <w:num w:numId="1005">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6">
    <w:abstractNumId w:val="991"/>
  </w:num>
  <w:num w:numId="1007">
    <w:abstractNumId w:val="991"/>
  </w:num>
  <w:num w:numId="1008">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9">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0">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compat/>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pPr>
      <w:widowControl/>
      <w:spacing w:after="90" w:line="248" w:lineRule="auto"/>
      <w:jc w:val="both"/>
    </w:pPr>
    <w:rPr>
      <w:rFonts w:ascii="Liberation Serif" w:eastAsia="Liberation Serif" w:hAnsi="Liberation Serif"/>
      <w:color w:val="221F28"/>
      <w:sz w:val="19"/>
    </w:rPr>
  </w:style>
  <w:style w:styleId="BodyText" w:type="paragraph">
    <w:name w:val="Body Text"/>
    <w:basedOn w:val="Normal"/>
    <w:link w:val="BodyTextChar"/>
    <w:qFormat/>
    <w:pPr>
      <w:widowControl/>
      <w:spacing w:after="90" w:before="180" w:line="248" w:lineRule="auto"/>
      <w:jc w:val="both"/>
    </w:pPr>
    <w:rPr>
      <w:rFonts w:ascii="Liberation Serif" w:hAnsi="Liberation Serif" w:eastAsia="Liberation Serif"/>
      <w:color w:val="221F28"/>
      <w:sz w:val="19"/>
    </w:rPr>
  </w:style>
  <w:style w:customStyle="1" w:styleId="FirstParagraph" w:type="paragraph">
    <w:name w:val="First Paragraph"/>
    <w:basedOn w:val="BodyText"/>
    <w:next w:val="BodyText"/>
    <w:qFormat/>
    <w:pPr>
      <w:widowControl/>
      <w:spacing w:line="248" w:lineRule="auto" w:after="90"/>
      <w:jc w:val="both"/>
    </w:pPr>
    <w:rPr>
      <w:rFonts w:ascii="Liberation Serif" w:hAnsi="Liberation Serif" w:eastAsia="Liberation Serif"/>
      <w:color w:val="221F28"/>
      <w:sz w:val="19"/>
    </w:rPr>
  </w:style>
  <w:style w:customStyle="1" w:styleId="Compact" w:type="paragraph">
    <w:name w:val="Compact"/>
    <w:basedOn w:val="BodyText"/>
    <w:qFormat/>
    <w:pPr>
      <w:spacing w:after="32" w:before="36" w:line="240" w:lineRule="auto"/>
    </w:pPr>
    <w:rPr>
      <w:rFonts w:ascii="Liberation Serif" w:hAnsi="Liberation Serif" w:eastAsia="Liberation Serif"/>
      <w:sz w:val="19"/>
    </w:rPr>
  </w:style>
  <w:style w:styleId="Title" w:type="paragraph">
    <w:name w:val="Title"/>
    <w:basedOn w:val="Normal"/>
    <w:next w:val="BodyText"/>
    <w:qFormat/>
    <w:pPr>
      <w:keepNext/>
      <w:keepLines/>
      <w:spacing w:after="160" w:before="480"/>
      <w:jc w:val="center"/>
    </w:pPr>
    <w:rPr>
      <w:rFonts w:ascii="Liberation Sans" w:asciiTheme="majorHAnsi" w:cstheme="majorBidi" w:eastAsia="Liberation Sans" w:eastAsiaTheme="majorEastAsia" w:hAnsi="Liberation Sans" w:hAnsiTheme="majorHAnsi"/>
      <w:b/>
      <w:bCs/>
      <w:color w:val="563778"/>
      <w:sz w:val="50"/>
      <w:szCs w:val="36"/>
    </w:rPr>
  </w:style>
  <w:style w:styleId="Subtitle" w:type="paragraph">
    <w:name w:val="Subtitle"/>
    <w:basedOn w:val="Title"/>
    <w:next w:val="BodyText"/>
    <w:qFormat/>
    <w:pPr>
      <w:keepNext/>
      <w:keepLines/>
      <w:spacing w:after="160" w:before="240"/>
      <w:jc w:val="center"/>
    </w:pPr>
    <w:rPr>
      <w:rFonts w:ascii="Liberation Sans" w:eastAsia="Liberation Sans" w:hAnsi="Liberation Sans"/>
      <w:b w:val="0"/>
      <w:color w:val="58545F"/>
      <w:sz w:val="28"/>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spacing w:after="0" w:before="300"/>
      <w:jc w:val="center"/>
    </w:pPr>
    <w:rPr>
      <w:b/>
      <w:color w:val="345A8A"/>
      <w:sz w:val="20"/>
      <w:szCs w:val="20"/>
    </w:rPr>
  </w:style>
  <w:style w:customStyle="1" w:styleId="Abstract" w:type="paragraph">
    <w:name w:val="Abstract"/>
    <w:basedOn w:val="Normal"/>
    <w:next w:val="BodyText"/>
    <w:qFormat/>
    <w:pPr>
      <w:keepNext/>
      <w:keepLines/>
      <w:spacing w:after="300" w:before="100" w:line="240" w:lineRule="auto"/>
      <w:ind w:left="288" w:right="288"/>
    </w:pPr>
    <w:rPr>
      <w:rFonts w:ascii="Liberation Serif" w:eastAsia="Liberation Serif" w:hAnsi="Liberation Serif"/>
      <w:i w:val="0"/>
      <w:color w:val="221F28"/>
      <w:sz w:val="18"/>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bCs/>
      <w:i/>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20" w:before="80"/>
      <w:ind w:firstLine="0" w:left="461" w:right="288"/>
    </w:pPr>
    <w:rPr>
      <w:rFonts w:ascii="Liberation Serif" w:eastAsia="Liberation Serif" w:hAnsi="Liberation Serif"/>
      <w:i/>
      <w:color w:val="58545F"/>
      <w:sz w:val="19"/>
    </w:rPr>
  </w:style>
  <w:style w:styleId="FootnoteText" w:type="paragraph">
    <w:name w:val="Footnote Text"/>
    <w:basedOn w:val="Normal"/>
    <w:next w:val="FootnoteText"/>
    <w:uiPriority w:val="9"/>
    <w:unhideWhenUsed/>
    <w:qFormat/>
  </w:style>
  <w:style w:styleId="FootnoteBlockText" w:type="paragraph">
    <w:name w:val="Footnote Block Text"/>
    <w:basedOn w:val="Footnote Text"/>
    <w:next w:val="Footnote 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rPr>
      <w:rFonts w:ascii="Liberation Sans" w:eastAsia="Liberation Sans" w:hAnsi="Liberation Sans"/>
      <w:color w:val="221F28"/>
      <w:sz w:val="17"/>
    </w:rPr>
    <w:tblPr>
      <w:tblInd w:type="dxa" w:w="0"/>
      <w:tblCellMar>
        <w:top w:type="dxa" w:w="0"/>
        <w:left w:type="dxa" w:w="108"/>
        <w:bottom w:type="dxa" w:w="0"/>
        <w:right w:type="dxa" w:w="108"/>
      </w:tblCellMar>
    </w:tblPr>
    <w:tblStylePr w:type="firstRow">
      <w:tblPr>
        <w:jc w:val="left"/>
        <w:tblInd w:type="dxa" w:w="0"/>
      </w:tblPr>
      <w:trPr>
        <w:jc w:val="left"/>
      </w:trPr>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rPr>
      <w:rFonts w:ascii="Liberation Sans" w:eastAsia="Liberation Sans" w:hAnsi="Liberation Sans"/>
      <w:i/>
      <w:color w:val="58545F"/>
      <w:sz w:val="17"/>
    </w:r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customStyle="1" w:styleId="PreprintLabel" w:type="paragraph">
    <w:name w:val="Preprint Label"/>
    <w:pPr>
      <w:spacing w:after="240"/>
      <w:jc w:val="center"/>
    </w:pPr>
    <w:rPr>
      <w:rFonts w:ascii="Liberation Sans" w:eastAsia="Liberation Sans" w:hAnsi="Liberation Sans"/>
      <w:b/>
      <w:color w:val="563778"/>
      <w:sz w:val="17"/>
    </w:rPr>
  </w:style>
  <w:style w:customStyle="1" w:styleId="AuthorNote" w:type="paragraph">
    <w:name w:val="Author Note"/>
    <w:pPr>
      <w:spacing w:after="160" w:before="100"/>
      <w:ind w:left="317" w:right="317"/>
    </w:pPr>
    <w:rPr>
      <w:rFonts w:ascii="Liberation Sans" w:eastAsia="Liberation Sans" w:hAnsi="Liberation Sans"/>
      <w:color w:val="58545F"/>
      <w:sz w:val="17"/>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 standalone='yes'?>
<Relationships xmlns="http://schemas.openxmlformats.org/package/2006/relationships"><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6" Type="http://schemas.openxmlformats.org/officeDocument/2006/relationships/theme" Target="theme/theme1.xml"/><Relationship Id="rId7" Type="http://schemas.openxmlformats.org/officeDocument/2006/relationships/footnotes" Target="footnotes.xml"/><Relationship Id="rId8" Type="http://schemas.openxmlformats.org/officeDocument/2006/relationships/comments" Target="comments.xml"/><Relationship Id="rId83" Type="http://schemas.openxmlformats.org/officeDocument/2006/relationships/image" Target="media/rId83.png"/><Relationship Id="rId64" Type="http://schemas.openxmlformats.org/officeDocument/2006/relationships/image" Target="media/rId64.png"/><Relationship Id="rId68" Type="http://schemas.openxmlformats.org/officeDocument/2006/relationships/image" Target="media/rId68.png"/><Relationship Id="rId73" Type="http://schemas.openxmlformats.org/officeDocument/2006/relationships/image" Target="media/rId73.png"/><Relationship Id="rId77" Type="http://schemas.openxmlformats.org/officeDocument/2006/relationships/image" Target="media/rId77.png"/><Relationship Id="rId54" Type="http://schemas.openxmlformats.org/officeDocument/2006/relationships/image" Target="media/rId54.png"/><Relationship Id="rId25" Type="http://schemas.openxmlformats.org/officeDocument/2006/relationships/image" Target="media/rId25.png"/><Relationship Id="rId58" Type="http://schemas.openxmlformats.org/officeDocument/2006/relationships/image" Target="media/rId58.png"/><Relationship Id="rId91" Type="http://schemas.openxmlformats.org/officeDocument/2006/relationships/image" Target="media/rId91.png"/><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header" Target="header2.xml"/><Relationship Id="rId1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Verdict as Axiom</dc:title>
  <dc:creator>Richard Andrei Pemberton; Lilitari; Red</dc:creator>
  <cp:keywords>Connes rigidity, Lean 4, AI-assisted mathematics, adversarial review, prompt farming, generative search, authority laundering</cp:keywords>
  <dcterms:created xsi:type="dcterms:W3CDTF">2026-08-10T14:52:26Z</dcterms:created>
  <dcterms:modified xsi:type="dcterms:W3CDTF">2026-08-10T14:52:26Z</dcterms:modified>
  <dc:subject>Interim source-level, reproducibility, and information-ecosystem audit of Nielsen versions 1, 17, 47, and 50; Codex A/B integrated; B2 and cross-lab review pending</dc:subject>
  <dc:description>Preprint v1.3 interim, 10 August 2026. Not peer reviewed. Codex A/B audits integrated. B2, cross-lab review, and final synthesis pending.</dc:description>
</cp:coreProperties>
</file>

<file path=docProps/custom.xml><?xml version="1.0" encoding="utf-8"?>
<Properties xmlns="http://schemas.openxmlformats.org/officeDocument/2006/custom-properties" xmlns:vt="http://schemas.openxmlformats.org/officeDocument/2006/docPropsVTypes"/>
</file>